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Ind w:w="-567" w:type="dxa"/>
        <w:tblLayout w:type="fixed"/>
        <w:tblLook w:val="0000"/>
      </w:tblPr>
      <w:tblGrid>
        <w:gridCol w:w="1418"/>
        <w:gridCol w:w="8788"/>
      </w:tblGrid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4C04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E76B5F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ТЕОРЕТИЧНІ </w:t>
            </w:r>
            <w:r w:rsidRPr="00E76B5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ОСНОВИ ФОРМУВАННЯ МАРКЕТИНГОВОЇ СТРАТЕГІЇ РОЗВИТКУ БАНКІВСЬКОЇ СФЕРИ РЕГІОНУ 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D4401D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76B5F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1.1.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Економічна сутність маркетингової стратегії розвитку банківського сектору регіону 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9"/>
              <w:jc w:val="both"/>
              <w:rPr>
                <w:rFonts w:ascii="Times New Roman" w:hAnsi="Times New Roman"/>
                <w:color w:val="000000"/>
                <w:spacing w:val="-15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Інструменти маркетингової стратегії розвитку банківського сектора регіону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9"/>
              <w:jc w:val="both"/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Сучасні підходи до формування маркетингової стратегії розвитку банківського сектора регіону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uk-UA"/>
              </w:rPr>
              <w:t>РОЗДІЛ 2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uk-UA"/>
              </w:rPr>
              <w:t xml:space="preserve">АНАЛІТИЧНА ОЦІНКА БАНКІВСЬКОГО СЕКТОРУ ХАРКІВСЬКОГО РЕГІОНУ 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Аналіз ефективності маркетингової стратегії регіону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Аналіз основних показників діяльності  банків регіону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та оцінка ефективності маркетингової стратегії АТ «</w:t>
            </w:r>
            <w:proofErr w:type="spellStart"/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Сбербанк</w:t>
            </w:r>
            <w:proofErr w:type="spellEnd"/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Росії»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РОЗДІЛ З 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ВДОСКОНАЛЕННЯ ПРОЕСУ ФОРМУВАННЯ  МАРКЕТИНГОВОЇ СТРАТЕГІЇ РОЗВИТКУ БАНКІВСЬКОГО СЕКТОРУ ХАРКІВСЬКОГО  РЕГІОНУ 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3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3.1. 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Визначення шляхів вдосконалення маркетингової стратегії розвитку регіону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308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3.2.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Методика вдосконалення діагностичної моделі визначення  напрямків  покращення діяльності банку шляхом оптимізації  витрат на просування банківських продуктів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3.3.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Пропозиції щодо  покращення ефективності маркетингової стратегії розвитку банківського сектора регіону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РОЗДІЛ 4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ТА БЕЗПЕКА В НАДЗВИЧАЙНИХ СИТУАЦІЯХ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4.1.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Охорона праці в галузі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4.2.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Охорона праці в банківській установі</w:t>
            </w:r>
          </w:p>
        </w:tc>
      </w:tr>
      <w:tr w:rsidR="004C5733" w:rsidRPr="00E76B5F" w:rsidTr="00BD44D1">
        <w:trPr>
          <w:trHeight w:val="20"/>
        </w:trPr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4.3.</w:t>
            </w:r>
          </w:p>
        </w:tc>
        <w:tc>
          <w:tcPr>
            <w:tcW w:w="8788" w:type="dxa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Розробка заходів по забезпеченню безпеки в надзвичайних ситуаціях в банківській установі</w:t>
            </w:r>
          </w:p>
        </w:tc>
      </w:tr>
      <w:tr w:rsidR="004C5733" w:rsidRPr="00E76B5F" w:rsidTr="00BD44D1">
        <w:trPr>
          <w:cantSplit/>
          <w:trHeight w:val="20"/>
        </w:trPr>
        <w:tc>
          <w:tcPr>
            <w:tcW w:w="10206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4C5733" w:rsidRPr="00D4401D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ВИСНОВКИ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</w:p>
        </w:tc>
      </w:tr>
      <w:tr w:rsidR="004C5733" w:rsidRPr="00E76B5F" w:rsidTr="00BD44D1">
        <w:trPr>
          <w:cantSplit/>
          <w:trHeight w:val="20"/>
        </w:trPr>
        <w:tc>
          <w:tcPr>
            <w:tcW w:w="10206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СПИСОК ВИКОРИСТАННИХ ДЖЕРЕЛ</w:t>
            </w:r>
          </w:p>
        </w:tc>
      </w:tr>
      <w:tr w:rsidR="004C5733" w:rsidRPr="00E76B5F" w:rsidTr="00BD44D1">
        <w:trPr>
          <w:cantSplit/>
          <w:trHeight w:val="20"/>
        </w:trPr>
        <w:tc>
          <w:tcPr>
            <w:tcW w:w="10206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4C5733" w:rsidRPr="00E76B5F" w:rsidRDefault="004C5733" w:rsidP="00BD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6B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ДОДАТКИ</w:t>
            </w:r>
          </w:p>
        </w:tc>
      </w:tr>
    </w:tbl>
    <w:p w:rsidR="00B76DA9" w:rsidRDefault="00B76DA9"/>
    <w:sectPr w:rsidR="00B76DA9" w:rsidSect="00B7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984"/>
    <w:multiLevelType w:val="singleLevel"/>
    <w:tmpl w:val="C3647A62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79672B47"/>
    <w:multiLevelType w:val="singleLevel"/>
    <w:tmpl w:val="1AF6C362"/>
    <w:lvl w:ilvl="0">
      <w:start w:val="2"/>
      <w:numFmt w:val="decimal"/>
      <w:lvlText w:val="1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1.%1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33"/>
    <w:rsid w:val="004C5733"/>
    <w:rsid w:val="00B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2014-05-20T12:28:00Z</dcterms:created>
  <dcterms:modified xsi:type="dcterms:W3CDTF">2014-05-20T12:29:00Z</dcterms:modified>
</cp:coreProperties>
</file>