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D" w:rsidRPr="00060A8D" w:rsidRDefault="00060A8D" w:rsidP="00060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060A8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Общая информация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1"/>
          <w:szCs w:val="41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24200" cy="2162175"/>
            <wp:effectExtent l="19050" t="0" r="0" b="0"/>
            <wp:wrapSquare wrapText="bothSides"/>
            <wp:docPr id="2" name="Рисунок 2" descr="http://www.ltsvet.ru/img/ltsvet/articles/article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tsvet.ru/img/ltsvet/articles/articlepic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А вы знаете, когда появился первый офис?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br/>
        <w:t>Многие подумают, что в 19 веке. И будут не правы. Ибо офисы</w:t>
      </w:r>
      <w:r w:rsidR="00CE328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как отдельное рабочее пространство</w:t>
      </w:r>
      <w:r w:rsidR="00CE328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начали формироваться еще в эпоху Ренессанса в Италии. Именно тогда у художников и скульпторов возникла необходимость отгородиться от внешнего мира и творить.</w:t>
      </w:r>
    </w:p>
    <w:p w:rsidR="00060A8D" w:rsidRPr="00060A8D" w:rsidRDefault="00060A8D" w:rsidP="00060A8D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Отгораживались они – кто как умел и мог себе позволить: кто мог – снимал себе отдельные комнаты на верхних этажах с большими окнами, чтобы работать при дневном свете; те, кто 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попроще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– занимали под работу чердаки и освещали свой путь свечками; кому-то приходилось довольствоваться ширмой. Несложно представить, какое освещение там было и как сложно было в условиях такой освещенности создать что-то действительно стоящее. Но - время шло, прогресс тоже не стоял на месте, количество офисов увеличивалось, а вместе с ним и количество офисных сотрудников тоже не уменьшалось. Но как правильно организовать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CE3283">
        <w:rPr>
          <w:rFonts w:ascii="Arial" w:eastAsia="Times New Roman" w:hAnsi="Arial" w:cs="Arial"/>
          <w:sz w:val="18"/>
        </w:rPr>
        <w:t>освещение</w:t>
      </w:r>
      <w:r w:rsidRPr="00CE3283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на рабочем месте, никто толком не знал. И вот к 1955 году государство, наконец, озадачилось выработкой норм и правил, в том числе и по которым должно осуществляться освещение в офисах, кабинетах и остальных помещениях с длительным пребыванием людей.</w:t>
      </w:r>
    </w:p>
    <w:p w:rsidR="00060A8D" w:rsidRPr="00060A8D" w:rsidRDefault="00060A8D" w:rsidP="00060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060A8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Принципы организации освещения в офисах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Любой документ, регламентирующий принципы освещения, гласит, что самое лучшее освещение - естественное. 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CE328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возможно</w:t>
      </w:r>
      <w:r w:rsidR="00CE328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именно поэтому офисы на верхних этажах, с окнами во всю стену, через которые естественный свет с улицы равномерно освещает все рабочее пространство, не напрягая зрение работников, стоят ощутимо дороже какого-нибудь помещения в цокольном этаже, где помимо возможной сырости владельцу еще и придется потратиться на организацию искусственного освещения, максимально приближенного к естественному для того, чтобы сотрудники не ощущали дискомфорта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и могли работать как можно более продуктивно. Ведь не является секретом Полишинеля, что от качества офисного освещения напрямую зависит трудоспособность сотрудников. В мире разработано несколько стандартов освещения – 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американский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IES NA, немецкий DIN, британский CIBCE и российские 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СНиП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23-05-95 и МГСН 2.06-99. Но поскольку 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СНиП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23-05-95 разрабатывался на основе светотехники 60-70 годов прошлого века, то современная практика показывает, что свет, созданный по этому стандарту, слабоват и не дает необходимого комфорта. Люди, работающие при таком освещении, быстро начинают жаловаться на повышенную утомляемость, частые головные боли, ухудшение зрения. На смену этому стандарту в настоящее время активно внедряется улучшенный европейский стандарт EN-12464-1. Согласно ему, требования к системам освещения выглядят так:</w:t>
      </w:r>
    </w:p>
    <w:tbl>
      <w:tblPr>
        <w:tblW w:w="12797" w:type="dxa"/>
        <w:jc w:val="center"/>
        <w:tblBorders>
          <w:top w:val="dashed" w:sz="4" w:space="0" w:color="DDDDDD"/>
          <w:left w:val="dashed" w:sz="4" w:space="0" w:color="DDDDDD"/>
          <w:bottom w:val="dashed" w:sz="4" w:space="0" w:color="DDDDDD"/>
          <w:right w:val="dashed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2578"/>
        <w:gridCol w:w="3291"/>
        <w:gridCol w:w="2783"/>
      </w:tblGrid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Тип офисного помещения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или вид деятельности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освещения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на рабочей плоскости, </w:t>
            </w:r>
            <w:proofErr w:type="spellStart"/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Ограничение слепящего действия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(предельные значения), UGR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Цветопередача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(минимальные значения), </w:t>
            </w:r>
            <w:proofErr w:type="spellStart"/>
            <w:r w:rsidRPr="00060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</w:t>
            </w:r>
            <w:proofErr w:type="spellEnd"/>
          </w:p>
        </w:tc>
      </w:tr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Автоматизированные рабочие места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Переговорные и конференц-залы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Приемные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Архивы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Делопроизводство, копировальные работы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Письмо, чтение, обработка данных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60A8D" w:rsidRPr="00060A8D" w:rsidTr="00060A8D">
        <w:trPr>
          <w:jc w:val="center"/>
        </w:trPr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Черчение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ashed" w:sz="4" w:space="0" w:color="DDDDDD"/>
              <w:left w:val="dashed" w:sz="4" w:space="0" w:color="DDDDDD"/>
              <w:bottom w:val="dashed" w:sz="4" w:space="0" w:color="DDDDDD"/>
              <w:right w:val="dashed" w:sz="4" w:space="0" w:color="DDDDDD"/>
            </w:tcBorders>
            <w:shd w:val="clear" w:color="auto" w:fill="FFFFFF"/>
            <w:tcMar>
              <w:top w:w="156" w:type="dxa"/>
              <w:left w:w="204" w:type="dxa"/>
              <w:bottom w:w="156" w:type="dxa"/>
              <w:right w:w="306" w:type="dxa"/>
            </w:tcMar>
            <w:hideMark/>
          </w:tcPr>
          <w:p w:rsidR="00060A8D" w:rsidRPr="00060A8D" w:rsidRDefault="00060A8D" w:rsidP="00060A8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060A8D" w:rsidRPr="00060A8D" w:rsidRDefault="00060A8D" w:rsidP="00060A8D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60A8D">
        <w:rPr>
          <w:rFonts w:ascii="Arial" w:eastAsia="Times New Roman" w:hAnsi="Arial" w:cs="Arial"/>
          <w:b/>
          <w:bCs/>
          <w:color w:val="000000"/>
          <w:sz w:val="18"/>
        </w:rPr>
        <w:t>Ra</w:t>
      </w:r>
      <w:proofErr w:type="spellEnd"/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- величина от 0 до 100, которая показывает, насколько хорошо в свете этого источника света видны другие цвета. За эталон принимают солнечный свет (100), или свет лампы накаливания (97–99). Качество цветопередачи: 90–100 – отличное, 80–90 – очень хорошее, 70–80 – хорошее, 50–70 – удовлетворительное, меньше 50 – слабое.</w:t>
      </w:r>
    </w:p>
    <w:p w:rsidR="00060A8D" w:rsidRPr="00060A8D" w:rsidRDefault="00060A8D" w:rsidP="00060A8D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b/>
          <w:bCs/>
          <w:color w:val="000000"/>
          <w:sz w:val="18"/>
        </w:rPr>
        <w:t>UGR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– показатель оценки психологического дискомфорта. Рассчитывается по формуле UGR = 8lg (0,25/ 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La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>∑ L</w:t>
      </w:r>
      <w:r w:rsidRPr="00060A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ω</w:t>
      </w:r>
      <w:r w:rsidRPr="00060A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), где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La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– яркость поля адаптации (фона), кд/м</w:t>
      </w:r>
      <w:r w:rsidRPr="00060A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, рассчитанная как 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Епр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spellEnd"/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Епр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- прямая вертикальная освещенность глаза наблюдателя)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br/>
        <w:t>L – средняя яркость светящей поверхности каждого светильника в направлении точки наблюдения; со телесный угол, под которым видна светящая поверхность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р</w:t>
      </w:r>
      <w:proofErr w:type="spellEnd"/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– индекс позиции по 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Гату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для каждого светильника, зависящий от его углового положения относительно линии зрения.</w:t>
      </w:r>
    </w:p>
    <w:p w:rsidR="00060A8D" w:rsidRPr="00060A8D" w:rsidRDefault="00060A8D" w:rsidP="00060A8D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60A8D">
        <w:rPr>
          <w:rFonts w:ascii="Arial" w:eastAsia="Times New Roman" w:hAnsi="Arial" w:cs="Arial"/>
          <w:b/>
          <w:bCs/>
          <w:color w:val="000000"/>
          <w:sz w:val="18"/>
        </w:rPr>
        <w:t>Lux</w:t>
      </w:r>
      <w:proofErr w:type="spellEnd"/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– единица измерения освещённости в Международной системе единиц (СИ). Люкс равен освещённости поверхности площадью 1 м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proofErr w:type="gramEnd"/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при световом потоке падающего на неё излучения, равном 1 лм.</w:t>
      </w:r>
    </w:p>
    <w:p w:rsidR="00060A8D" w:rsidRPr="00060A8D" w:rsidRDefault="00060A8D" w:rsidP="00060A8D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333625"/>
            <wp:effectExtent l="19050" t="0" r="0" b="0"/>
            <wp:wrapSquare wrapText="bothSides"/>
            <wp:docPr id="3" name="Рисунок 3" descr="http://www.ltsvet.ru/img/ltsvet/articles/article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tsvet.ru/img/ltsvet/articles/articlepic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A8D">
        <w:rPr>
          <w:rFonts w:ascii="Arial" w:eastAsia="Times New Roman" w:hAnsi="Arial" w:cs="Arial"/>
          <w:b/>
          <w:bCs/>
          <w:color w:val="000000"/>
          <w:sz w:val="18"/>
        </w:rPr>
        <w:t>Естественное освещение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– освещение помещений светом, исходящим от неба (прямым или отраженным), проникающим через световые проемы в наружных ограждающих конструкциях. Если же естественного помещения в силу конструктивных особенностей не хватает, либо для освещения помещений в темное время суток, применяют совмещенное освещение, когда недостаток естественного света компенсируется 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искусственным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Очень важно при планировании системы освещения офиса создать грамотный проект. Ведь офис – то место, где человек не только проводит значительную часть времени, но еще и напряженно трудится в течение рабочего дня. И неправильно подобранный свет может снизить работоспособность на 30 %.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Добиться же освещения, максимально приближенного к естественному по своим характеристикам, можно несколькими нехитрыми (или хитрыми, тут уж кому как повезет) способами.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Офис – это структура, и так как ее составляющие используются для разных видов деятельности, то и 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освещены они должны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быть с учетом выполняемой работы. При этом не следует забывать, что осветительное оборудование должно гармонично вписываться в интерьер помещения. Свет, в свою очередь, тоже имеет массу характеристик. Поэтому все чаще организацию освещения офисного пространства поручают профессиональным специалистам.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Тем не менее, есть несколько общих правил организации освещения офиса:</w:t>
      </w:r>
    </w:p>
    <w:p w:rsidR="00060A8D" w:rsidRPr="00060A8D" w:rsidRDefault="00060A8D" w:rsidP="00060A8D">
      <w:pPr>
        <w:numPr>
          <w:ilvl w:val="0"/>
          <w:numId w:val="1"/>
        </w:numPr>
        <w:spacing w:after="0" w:line="263" w:lineRule="atLeast"/>
        <w:ind w:left="48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Если длина помещения составляет от 4 до 6 м, то большую часть рабочего времени можно использовать дневной свет, если позволяют размеры окон. Чтобы не было бликов,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CE3283">
        <w:rPr>
          <w:rFonts w:ascii="Arial" w:eastAsia="Times New Roman" w:hAnsi="Arial" w:cs="Arial"/>
          <w:sz w:val="18"/>
        </w:rPr>
        <w:t>светильники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располагают в два ряда: первый — вдоль окна, второй — параллельно первому, на расстоянии двух третей глубины комнаты, получая в итоге общую равномерную подсветку.</w:t>
      </w:r>
    </w:p>
    <w:p w:rsidR="00060A8D" w:rsidRPr="00060A8D" w:rsidRDefault="00060A8D" w:rsidP="00060A8D">
      <w:pPr>
        <w:numPr>
          <w:ilvl w:val="0"/>
          <w:numId w:val="1"/>
        </w:numPr>
        <w:spacing w:after="0" w:line="263" w:lineRule="atLeast"/>
        <w:ind w:left="48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Для офисов, рассчитанных на 10-15 человек, где каждый работник выполняет свою задачу, линия зрения должна располагаться параллельно окну, а лучи — поступать слева. </w:t>
      </w:r>
      <w:r w:rsidRPr="00CE3283">
        <w:rPr>
          <w:rFonts w:ascii="Arial" w:eastAsia="Times New Roman" w:hAnsi="Arial" w:cs="Arial"/>
          <w:sz w:val="18"/>
          <w:szCs w:val="18"/>
        </w:rPr>
        <w:t>При</w:t>
      </w:r>
      <w:r w:rsidRPr="00CE3283">
        <w:rPr>
          <w:rFonts w:ascii="Arial" w:eastAsia="Times New Roman" w:hAnsi="Arial" w:cs="Arial"/>
          <w:sz w:val="18"/>
        </w:rPr>
        <w:t> </w:t>
      </w:r>
      <w:hyperlink r:id="rId7" w:history="1">
        <w:r w:rsidRPr="00CE3283">
          <w:rPr>
            <w:rFonts w:ascii="Arial" w:eastAsia="Times New Roman" w:hAnsi="Arial" w:cs="Arial"/>
            <w:sz w:val="18"/>
          </w:rPr>
          <w:t>потолочном освещении</w:t>
        </w:r>
      </w:hyperlink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желательны два-три ряда светильников, расположенных параллельно окну.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lastRenderedPageBreak/>
        <w:t>За счет светильников в офисе создается необходимая рабочая атмосфера. Например, в деловой официальной обстановке часто используют холодный свет, а при неформальной обстановке используется теплое освещение и подсветка стен.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И, конечно же, для обеспечения нормального освещения в помещениях следует проводить гигиеническую очистку стекол оконных рам не реже двух раз в год и производить замену перегоревших ламп.</w:t>
      </w:r>
    </w:p>
    <w:p w:rsidR="00060A8D" w:rsidRPr="00060A8D" w:rsidRDefault="00060A8D" w:rsidP="00060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060A8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Виды источников освещения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Вышеупомянутый стандарт EN-12464-1 не обязывает применять какие-то конкретные источники освещения. И выбор того или иного типа ламп обуславливается совокупностью их параметров.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Лампы накаливания – самые старые источники света. При их несомненных достоинствах – низкой стоимости, отсутствии мерцания и необходимости в ПРА и простоте в обслуживании, они обладают и рядом существенных недостатков – низкая энергетическая эффективность, короткий срок службы, высокая теплоотдача, что уместно лишь в не отапливаемых помещениях.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Галогенные лампы - основное отличие их от ламп накаливания в том, что внутренний объём лампы заполнен парами йода или брома. Еще одно отличие состоит в том, что колба выполнена из кварцевого стекла, более устойчивого к высокой температуре и химическим взаимодействиям. Благодаря этому размеры галогенных ламп можно уменьшить в несколько раз по сравнению с обычными лампами такой же мощности. Некоторые типы таких ламп имеют фильтры, не пропускающие УФ лучи.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4" name="Рисунок 4" descr="http://www.ltsvet.ru/img/ltsvet/articles/article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tsvet.ru/img/ltsvet/articles/articlepi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Помимо стандартных ламп для сети 127/220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>, широко применяются лампы низкого напряжения на 12 В. Недостатки - резкая реакция на скачки напряжения в сети. Из достоинств - экономичность в 1,5-2 раза выше, чем у других ламп накаливания, срок службы 2000 часов, удобство применения из-за небольших габаритов.</w:t>
      </w:r>
    </w:p>
    <w:p w:rsidR="00060A8D" w:rsidRPr="00060A8D" w:rsidRDefault="00060A8D" w:rsidP="00060A8D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Люминесцентные лампы – газоразрядные лампы низкого и высокого давления. Состоят из стеклянной трубки, которая внутри покрыта люминофором и наполнена дозированным количеством ртути и смесью инертных газов под давлением около 400 Па. На противоположных концах находятся электроды, между которыми, при включении возникает газовый разряд, сопровождающийся излучением. Это излучение преобразуется люминофором в видимое световое излучение. В зависимости от состава люминофора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hyperlink r:id="rId9" w:history="1">
        <w:r w:rsidRPr="00060A8D">
          <w:rPr>
            <w:rFonts w:ascii="Arial" w:eastAsia="Times New Roman" w:hAnsi="Arial" w:cs="Arial"/>
            <w:color w:val="770290"/>
            <w:sz w:val="18"/>
            <w:u w:val="single"/>
          </w:rPr>
          <w:t>люминесцентные</w:t>
        </w:r>
      </w:hyperlink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лампы обладают различной цветностью. Основные достоинства – долговечность, экономичность, высокое качество цветопередачи и низкая температура на поверхности, дающая относительную пожарную безопасность. Недостатки – стробоскопический эффект (изображение нескольких предметов вместо одного), чувствительность к окружающей температуре, необходимость в ПРА (дроссели, стартеры).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В люминесцентных лампах с ростом тока напряжение на нём не растёт, а уменьшается, в отличие от других приёмников электрической энергии. Это значит, что если в газоразрядных лампах не ограничивать ток разряда, он будет расти до тех пор, пока не выйдет из строя одно из трёх звеньев электрической цепи: источник энергии, приёмник или провода, соединяющие источник и приёмник энергии. Из чего следует, что включение люминесцентных ламп возможно только с такими устройствами, которые, обеспечивая подачу необходимого напряжения для зажигания лампы, ограничивают ток до уровня, требуемого для нормальной работы лампы. Такие устройства получили название пускорегулирующие аппараты (ПРА).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ПРА подразделяются на электромагнитные (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ЭмПРА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) и электронные (ЭПРА). И та и другая выполняют общие функции: изоляция источника тока, разъединение электропитания, защита светильника от перегрузки, осуществление коммутации, защита светильника от короткого замыкания. Но применение ЭПРА дает еще и улучшение качества света, снижение количества потребляемой электроэнергии до 30%, увеличение среднего срока службы светильников до 50%, уменьшение световой пульсации, исключение стробоскопического 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lastRenderedPageBreak/>
        <w:t>эффекта, что ранее являлось основной причиной повышенной утомляемости глаза, теплый старт светильника - лампы зажигаются очень плавно и никогда не мигают. Использование ЭПРА также дает ощутимую экономию финансовых средств, так как использование ЭПРА позволяет экономить электроэнергию, увеличивать срок службы каждой лампы, установленной в светильнике, тем самым снижая уровень затрат на работу электриков, покупку новых ламп и затрат на утилизацию ламп, уменьшать количество затрат на лечение сотрудников и оплату больничных листов.</w:t>
      </w:r>
    </w:p>
    <w:p w:rsidR="00060A8D" w:rsidRPr="00060A8D" w:rsidRDefault="00060A8D" w:rsidP="00060A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060A8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Энергосберегающие лампы</w:t>
      </w:r>
    </w:p>
    <w:p w:rsidR="00060A8D" w:rsidRPr="00060A8D" w:rsidRDefault="00060A8D" w:rsidP="00060A8D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Отдельного внимания заслуживают т.н. энергосберегающие лампы, обладающие существенно большей светоотдачей в сравнении с более распространёнными сейчас лампами накаливания. Благодаря этому замена ламп накаливания на энергосберегающие способствует экономии электроэнергии. Но часто энергосберегающими называют только компактные люминесцентные лампы, что некорректно, так как экономить энергию могут и 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те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283">
        <w:rPr>
          <w:rFonts w:ascii="Arial" w:eastAsia="Times New Roman" w:hAnsi="Arial" w:cs="Arial"/>
          <w:sz w:val="18"/>
          <w:szCs w:val="18"/>
        </w:rPr>
        <w:t>же</w:t>
      </w:r>
      <w:r w:rsidRPr="00CE3283">
        <w:rPr>
          <w:rFonts w:ascii="Arial" w:eastAsia="Times New Roman" w:hAnsi="Arial" w:cs="Arial"/>
          <w:sz w:val="18"/>
        </w:rPr>
        <w:t> светодиодные</w:t>
      </w:r>
      <w:r w:rsidRPr="00060A8D">
        <w:rPr>
          <w:rFonts w:ascii="Arial" w:eastAsia="Times New Roman" w:hAnsi="Arial" w:cs="Arial"/>
          <w:color w:val="000000"/>
          <w:sz w:val="18"/>
        </w:rPr>
        <w:t> </w:t>
      </w:r>
      <w:r w:rsidRPr="00060A8D">
        <w:rPr>
          <w:rFonts w:ascii="Arial" w:eastAsia="Times New Roman" w:hAnsi="Arial" w:cs="Arial"/>
          <w:color w:val="000000"/>
          <w:sz w:val="18"/>
          <w:szCs w:val="18"/>
        </w:rPr>
        <w:t>лампы, обладающие перед люминесцентными рядом преимуществ: большая светоотдача, долговечность и независимость от частых переключений, более естественный спектр. Тогда как люминесцентные лампы, помимо того что содержат вредные вещества, обладают весьма существенным недостатком – эффектом мерцания, т</w:t>
      </w:r>
      <w:proofErr w:type="gram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.е</w:t>
      </w:r>
      <w:proofErr w:type="gram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пульсацией светового потока.</w:t>
      </w:r>
    </w:p>
    <w:p w:rsidR="00060A8D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Мерцание губительно для нервных клеток, так как ритмическая активность мозга перестраивается под частоту мерцаний лампы, что может вызвать как минимум головную боль, а у людей с нестабильной нервной системой – даже приступы эпилепсии. Пульсации, вызванные высокочастотным питанием энергосберегающей лампы, дают нагрузку на центральную нервную систему. Установлено, что усиление головной боли, проблемы с концентрацией, головокружение, внутренние вибрации, судороги и эпилептические мозговые волны у чувствительных людей и детей проявляются достаточно часто при использовании подобных ламп.</w:t>
      </w:r>
    </w:p>
    <w:p w:rsidR="00467CA1" w:rsidRPr="00060A8D" w:rsidRDefault="00060A8D" w:rsidP="00060A8D">
      <w:pPr>
        <w:shd w:val="clear" w:color="auto" w:fill="FFFFFF"/>
        <w:spacing w:after="240" w:line="26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60A8D">
        <w:rPr>
          <w:rFonts w:ascii="Arial" w:eastAsia="Times New Roman" w:hAnsi="Arial" w:cs="Arial"/>
          <w:color w:val="000000"/>
          <w:sz w:val="18"/>
          <w:szCs w:val="18"/>
        </w:rPr>
        <w:t>Избежать негативного воздействия мерцания можно только одним способом – приобретая лампы от проверенных производителей, гарантирующих уровень пульсации ламп в допустимом для человека диапазоне. Критерием оценки глубины световых колебаний является коэффициент пульсации освещённости на рабочей поверхности (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Кп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). Установлено, что отрицательное влияние пульсации на организм человека достаточно мало только при значениях </w:t>
      </w:r>
      <w:proofErr w:type="spellStart"/>
      <w:r w:rsidRPr="00060A8D">
        <w:rPr>
          <w:rFonts w:ascii="Arial" w:eastAsia="Times New Roman" w:hAnsi="Arial" w:cs="Arial"/>
          <w:color w:val="000000"/>
          <w:sz w:val="18"/>
          <w:szCs w:val="18"/>
        </w:rPr>
        <w:t>Кп</w:t>
      </w:r>
      <w:proofErr w:type="spellEnd"/>
      <w:r w:rsidRPr="00060A8D">
        <w:rPr>
          <w:rFonts w:ascii="Arial" w:eastAsia="Times New Roman" w:hAnsi="Arial" w:cs="Arial"/>
          <w:color w:val="000000"/>
          <w:sz w:val="18"/>
          <w:szCs w:val="18"/>
        </w:rPr>
        <w:t xml:space="preserve"> не более 5-6%.</w:t>
      </w:r>
    </w:p>
    <w:sectPr w:rsidR="00467CA1" w:rsidRPr="00060A8D" w:rsidSect="0078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D15"/>
    <w:multiLevelType w:val="multilevel"/>
    <w:tmpl w:val="5122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0A8D"/>
    <w:rsid w:val="00060A8D"/>
    <w:rsid w:val="00467CA1"/>
    <w:rsid w:val="0078492A"/>
    <w:rsid w:val="00C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2A"/>
  </w:style>
  <w:style w:type="paragraph" w:styleId="2">
    <w:name w:val="heading 2"/>
    <w:basedOn w:val="a"/>
    <w:link w:val="20"/>
    <w:uiPriority w:val="9"/>
    <w:qFormat/>
    <w:rsid w:val="00060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A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0A8D"/>
  </w:style>
  <w:style w:type="character" w:styleId="a4">
    <w:name w:val="Hyperlink"/>
    <w:basedOn w:val="a0"/>
    <w:uiPriority w:val="99"/>
    <w:semiHidden/>
    <w:unhideWhenUsed/>
    <w:rsid w:val="00060A8D"/>
    <w:rPr>
      <w:color w:val="0000FF"/>
      <w:u w:val="single"/>
    </w:rPr>
  </w:style>
  <w:style w:type="character" w:styleId="a5">
    <w:name w:val="Strong"/>
    <w:basedOn w:val="a0"/>
    <w:uiPriority w:val="22"/>
    <w:qFormat/>
    <w:rsid w:val="00060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tsvet.ru/Production/POTO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tsvet.ru/Fluorescent_luminai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2014-07-29T15:05:00Z</dcterms:created>
  <dcterms:modified xsi:type="dcterms:W3CDTF">2014-07-29T15:11:00Z</dcterms:modified>
</cp:coreProperties>
</file>