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2E2" w:rsidRDefault="009812E2">
      <w:pPr>
        <w:rPr>
          <w:lang w:val="en-US"/>
        </w:rPr>
      </w:pPr>
    </w:p>
    <w:p w:rsidR="00FD2613" w:rsidRDefault="00FD2613">
      <w:pPr>
        <w:rPr>
          <w:lang w:val="en-US"/>
        </w:rPr>
      </w:pPr>
    </w:p>
    <w:tbl>
      <w:tblPr>
        <w:tblStyle w:val="a4"/>
        <w:tblW w:w="0" w:type="auto"/>
        <w:tblLook w:val="04A0" w:firstRow="1" w:lastRow="0" w:firstColumn="1" w:lastColumn="0" w:noHBand="0" w:noVBand="1"/>
      </w:tblPr>
      <w:tblGrid>
        <w:gridCol w:w="4785"/>
        <w:gridCol w:w="4786"/>
      </w:tblGrid>
      <w:tr w:rsidR="00FD2613" w:rsidRPr="00787ADC" w:rsidTr="00FD2613">
        <w:tc>
          <w:tcPr>
            <w:tcW w:w="4785" w:type="dxa"/>
          </w:tcPr>
          <w:p w:rsidR="00FD2613" w:rsidRPr="00787ADC" w:rsidRDefault="00FF2960" w:rsidP="00FF2960">
            <w:pPr>
              <w:jc w:val="center"/>
              <w:rPr>
                <w:rFonts w:ascii="Times New Roman" w:hAnsi="Times New Roman"/>
                <w:b/>
                <w:sz w:val="28"/>
                <w:szCs w:val="28"/>
              </w:rPr>
            </w:pPr>
            <w:r w:rsidRPr="00787ADC">
              <w:rPr>
                <w:rFonts w:ascii="Times New Roman" w:hAnsi="Times New Roman"/>
                <w:b/>
                <w:sz w:val="28"/>
                <w:szCs w:val="28"/>
              </w:rPr>
              <w:t>ОРИГИНАЛ</w:t>
            </w:r>
          </w:p>
        </w:tc>
        <w:tc>
          <w:tcPr>
            <w:tcW w:w="4786" w:type="dxa"/>
          </w:tcPr>
          <w:p w:rsidR="00FD2613" w:rsidRPr="00787ADC" w:rsidRDefault="00FF2960" w:rsidP="00FF2960">
            <w:pPr>
              <w:jc w:val="center"/>
              <w:rPr>
                <w:rFonts w:ascii="Times New Roman" w:hAnsi="Times New Roman"/>
                <w:b/>
                <w:sz w:val="28"/>
                <w:szCs w:val="28"/>
              </w:rPr>
            </w:pPr>
            <w:r w:rsidRPr="00787ADC">
              <w:rPr>
                <w:rFonts w:ascii="Times New Roman" w:hAnsi="Times New Roman"/>
                <w:b/>
                <w:sz w:val="28"/>
                <w:szCs w:val="28"/>
              </w:rPr>
              <w:t>МЕСТО ДЛЯ ПЕРЕВОДА</w:t>
            </w:r>
          </w:p>
        </w:tc>
      </w:tr>
      <w:tr w:rsidR="00FD2613" w:rsidRPr="00787ADC" w:rsidTr="00FD2613">
        <w:tc>
          <w:tcPr>
            <w:tcW w:w="4785" w:type="dxa"/>
          </w:tcPr>
          <w:p w:rsidR="00FF2960" w:rsidRPr="00787ADC" w:rsidRDefault="00FF2960" w:rsidP="00FF2960">
            <w:pPr>
              <w:rPr>
                <w:rFonts w:ascii="Times New Roman" w:hAnsi="Times New Roman"/>
                <w:sz w:val="24"/>
                <w:szCs w:val="24"/>
              </w:rPr>
            </w:pPr>
            <w:r w:rsidRPr="00787ADC">
              <w:rPr>
                <w:rFonts w:ascii="Times New Roman" w:hAnsi="Times New Roman"/>
                <w:sz w:val="24"/>
                <w:szCs w:val="24"/>
                <w:lang w:val="en-US"/>
              </w:rPr>
              <w:t xml:space="preserve">CLINICAL TRIALS </w:t>
            </w:r>
          </w:p>
          <w:p w:rsidR="00FD2613" w:rsidRPr="00787ADC" w:rsidRDefault="00FD2613">
            <w:pPr>
              <w:rPr>
                <w:rFonts w:ascii="Times New Roman" w:hAnsi="Times New Roman"/>
                <w:lang w:val="en-US"/>
              </w:rPr>
            </w:pPr>
          </w:p>
        </w:tc>
        <w:tc>
          <w:tcPr>
            <w:tcW w:w="4786" w:type="dxa"/>
          </w:tcPr>
          <w:p w:rsidR="00FD2613" w:rsidRPr="00300ACF" w:rsidRDefault="00300ACF" w:rsidP="007C3550">
            <w:pPr>
              <w:rPr>
                <w:rFonts w:ascii="Times New Roman" w:hAnsi="Times New Roman"/>
              </w:rPr>
            </w:pPr>
            <w:r>
              <w:rPr>
                <w:rFonts w:ascii="Times New Roman" w:hAnsi="Times New Roman"/>
              </w:rPr>
              <w:t>КЛИНИЧЕСКИЕ ИС</w:t>
            </w:r>
            <w:r w:rsidR="007C3550">
              <w:rPr>
                <w:rFonts w:ascii="Times New Roman" w:hAnsi="Times New Roman"/>
              </w:rPr>
              <w:t>ПЫТАНИЯ</w:t>
            </w:r>
          </w:p>
        </w:tc>
      </w:tr>
      <w:tr w:rsidR="00FD2613" w:rsidRPr="007C3550" w:rsidTr="00FD2613">
        <w:tc>
          <w:tcPr>
            <w:tcW w:w="4785" w:type="dxa"/>
          </w:tcPr>
          <w:p w:rsidR="00FD2613" w:rsidRPr="00787ADC" w:rsidRDefault="00FD2613" w:rsidP="002A7680">
            <w:pPr>
              <w:rPr>
                <w:rFonts w:ascii="Times New Roman" w:hAnsi="Times New Roman"/>
                <w:lang w:val="en-US"/>
              </w:rPr>
            </w:pPr>
            <w:r w:rsidRPr="00787ADC">
              <w:rPr>
                <w:rFonts w:ascii="Times New Roman" w:eastAsia="MS Mincho" w:hAnsi="Times New Roman"/>
                <w:sz w:val="24"/>
                <w:szCs w:val="24"/>
                <w:lang w:val="en-US" w:eastAsia="ja-JP"/>
              </w:rPr>
              <w:t>Adverse reactions observed in clinical trials. The following adverse reactions</w:t>
            </w:r>
            <w:r w:rsidR="002A7680" w:rsidRPr="00787ADC">
              <w:rPr>
                <w:rFonts w:ascii="Times New Roman" w:eastAsia="MS Mincho" w:hAnsi="Times New Roman"/>
                <w:sz w:val="24"/>
                <w:szCs w:val="24"/>
                <w:lang w:val="en-US" w:eastAsia="ja-JP"/>
              </w:rPr>
              <w:t xml:space="preserve"> </w:t>
            </w:r>
            <w:r w:rsidRPr="00787ADC">
              <w:rPr>
                <w:rFonts w:ascii="Times New Roman" w:eastAsia="MS Mincho" w:hAnsi="Times New Roman"/>
                <w:sz w:val="24"/>
                <w:szCs w:val="24"/>
                <w:lang w:val="en-US" w:eastAsia="ja-JP"/>
              </w:rPr>
              <w:t>were observed in completed clinical trials and are considered expected for reporting purposes</w:t>
            </w:r>
          </w:p>
        </w:tc>
        <w:tc>
          <w:tcPr>
            <w:tcW w:w="4786" w:type="dxa"/>
          </w:tcPr>
          <w:p w:rsidR="00FD2613" w:rsidRPr="007C3550" w:rsidRDefault="007C3550" w:rsidP="007C3550">
            <w:pPr>
              <w:rPr>
                <w:rFonts w:ascii="Times New Roman" w:hAnsi="Times New Roman"/>
              </w:rPr>
            </w:pPr>
            <w:r>
              <w:rPr>
                <w:rFonts w:ascii="Times New Roman" w:hAnsi="Times New Roman"/>
              </w:rPr>
              <w:t xml:space="preserve">В клинических испытаниях наблюдались побочные реакции. В целях отчетности </w:t>
            </w:r>
            <w:r>
              <w:rPr>
                <w:rFonts w:ascii="Times New Roman" w:hAnsi="Times New Roman"/>
              </w:rPr>
              <w:t>ожидаются следующие побочные реакции</w:t>
            </w:r>
            <w:r>
              <w:rPr>
                <w:rFonts w:ascii="Times New Roman" w:hAnsi="Times New Roman"/>
              </w:rPr>
              <w:t>, которые наблюдались в завершенных клинических испытаниях.</w:t>
            </w:r>
          </w:p>
        </w:tc>
      </w:tr>
      <w:tr w:rsidR="00FD2613" w:rsidRPr="007C3550" w:rsidTr="00FD2613">
        <w:tc>
          <w:tcPr>
            <w:tcW w:w="4785" w:type="dxa"/>
          </w:tcPr>
          <w:p w:rsidR="00FD2613" w:rsidRPr="00787ADC" w:rsidRDefault="00FD2613" w:rsidP="006A7631">
            <w:pPr>
              <w:rPr>
                <w:rFonts w:ascii="Times New Roman" w:hAnsi="Times New Roman"/>
                <w:lang w:val="en-US"/>
              </w:rPr>
            </w:pPr>
            <w:r w:rsidRPr="00787ADC">
              <w:rPr>
                <w:rFonts w:ascii="Times New Roman" w:eastAsia="MS Mincho" w:hAnsi="Times New Roman"/>
                <w:sz w:val="24"/>
                <w:szCs w:val="24"/>
                <w:lang w:val="en-US" w:eastAsia="ja-JP"/>
              </w:rPr>
              <w:t>The Investigator’s Brochure Version 5 (dated June 2010) has been updated to</w:t>
            </w:r>
            <w:r w:rsidR="006A7631" w:rsidRPr="00787ADC">
              <w:rPr>
                <w:rFonts w:ascii="Times New Roman" w:eastAsia="MS Mincho" w:hAnsi="Times New Roman"/>
                <w:sz w:val="24"/>
                <w:szCs w:val="24"/>
                <w:lang w:val="en-US" w:eastAsia="ja-JP"/>
              </w:rPr>
              <w:t xml:space="preserve"> </w:t>
            </w:r>
            <w:r w:rsidRPr="00787ADC">
              <w:rPr>
                <w:rFonts w:ascii="Times New Roman" w:eastAsia="MS Mincho" w:hAnsi="Times New Roman"/>
                <w:sz w:val="24"/>
                <w:szCs w:val="24"/>
                <w:lang w:val="en-US" w:eastAsia="ja-JP"/>
              </w:rPr>
              <w:t>create Version 6 (dated April 2012), reflecting the clinical pharmacology trial data as of 20 April 2011 and the clinical trial safety data of ongoing trials as of 06 January 2012.There are no substantial changes to this section relating to patient safety or safety-related protocol amendments</w:t>
            </w:r>
          </w:p>
        </w:tc>
        <w:tc>
          <w:tcPr>
            <w:tcW w:w="4786" w:type="dxa"/>
          </w:tcPr>
          <w:p w:rsidR="00FD2613" w:rsidRPr="007C3550" w:rsidRDefault="007C3550" w:rsidP="007E5846">
            <w:pPr>
              <w:rPr>
                <w:rFonts w:ascii="Times New Roman" w:hAnsi="Times New Roman"/>
              </w:rPr>
            </w:pPr>
            <w:r>
              <w:rPr>
                <w:rFonts w:ascii="Times New Roman" w:hAnsi="Times New Roman"/>
              </w:rPr>
              <w:t xml:space="preserve">Брошюра Исследователя версии №5 (от июня 2010 года) была обновлена для создания версии №6 (от апреля 2012 года), которая отражает </w:t>
            </w:r>
            <w:r w:rsidR="007E5846">
              <w:rPr>
                <w:rFonts w:ascii="Times New Roman" w:hAnsi="Times New Roman"/>
              </w:rPr>
              <w:t xml:space="preserve">данные испытаний клинической фармакологии от 20 апреля 2011 года и данные безопасности клинических испытаний действующих исследований от 06 января 2012 года. В этом разделе нет существенных изменений, которые относятся к безопасности пациента или поправок к протоколу связанных с безопасностью. </w:t>
            </w:r>
          </w:p>
        </w:tc>
      </w:tr>
      <w:tr w:rsidR="00FD2613" w:rsidRPr="00036131" w:rsidTr="00FD2613">
        <w:tc>
          <w:tcPr>
            <w:tcW w:w="4785" w:type="dxa"/>
          </w:tcPr>
          <w:p w:rsidR="00FD2613" w:rsidRPr="00787ADC" w:rsidRDefault="00FD2613" w:rsidP="00FD2613">
            <w:pPr>
              <w:autoSpaceDE w:val="0"/>
              <w:autoSpaceDN w:val="0"/>
              <w:adjustRightInd w:val="0"/>
              <w:rPr>
                <w:rFonts w:ascii="Times New Roman" w:eastAsia="MS Mincho" w:hAnsi="Times New Roman"/>
                <w:sz w:val="24"/>
                <w:szCs w:val="24"/>
                <w:lang w:val="en-US" w:eastAsia="ja-JP"/>
              </w:rPr>
            </w:pPr>
            <w:r w:rsidRPr="00787ADC">
              <w:rPr>
                <w:rFonts w:ascii="Times New Roman" w:eastAsia="MS Mincho" w:hAnsi="Times New Roman"/>
                <w:sz w:val="24"/>
                <w:szCs w:val="24"/>
                <w:lang w:val="en-US" w:eastAsia="ja-JP"/>
              </w:rPr>
              <w:t>Patients who did not meet the discharge criteria on Day 36 may have been reevaluated for discharge at any time after Day 14 and before Day 21. Patients who did not meet</w:t>
            </w:r>
            <w:r w:rsidR="00FF2960" w:rsidRPr="00787ADC">
              <w:rPr>
                <w:rFonts w:ascii="Times New Roman" w:eastAsia="MS Mincho" w:hAnsi="Times New Roman"/>
                <w:sz w:val="24"/>
                <w:szCs w:val="24"/>
                <w:lang w:val="en-US" w:eastAsia="ja-JP"/>
              </w:rPr>
              <w:t xml:space="preserve"> </w:t>
            </w:r>
            <w:r w:rsidRPr="00787ADC">
              <w:rPr>
                <w:rFonts w:ascii="Times New Roman" w:eastAsia="MS Mincho" w:hAnsi="Times New Roman"/>
                <w:sz w:val="24"/>
                <w:szCs w:val="24"/>
                <w:lang w:val="en-US" w:eastAsia="ja-JP"/>
              </w:rPr>
              <w:t>discharge criteria remained hospitalized for the remainder of the 3-week double-blind</w:t>
            </w:r>
            <w:r w:rsidR="00FF2960" w:rsidRPr="00787ADC">
              <w:rPr>
                <w:rFonts w:ascii="Times New Roman" w:eastAsia="MS Mincho" w:hAnsi="Times New Roman"/>
                <w:sz w:val="24"/>
                <w:szCs w:val="24"/>
                <w:lang w:val="en-US" w:eastAsia="ja-JP"/>
              </w:rPr>
              <w:t xml:space="preserve"> </w:t>
            </w:r>
            <w:r w:rsidRPr="00787ADC">
              <w:rPr>
                <w:rFonts w:ascii="Times New Roman" w:eastAsia="MS Mincho" w:hAnsi="Times New Roman"/>
                <w:sz w:val="24"/>
                <w:szCs w:val="24"/>
                <w:lang w:val="en-US" w:eastAsia="ja-JP"/>
              </w:rPr>
              <w:t xml:space="preserve">phase. Any </w:t>
            </w:r>
            <w:proofErr w:type="spellStart"/>
            <w:r w:rsidRPr="00787ADC">
              <w:rPr>
                <w:rFonts w:ascii="Times New Roman" w:eastAsia="MS Mincho" w:hAnsi="Times New Roman"/>
                <w:sz w:val="24"/>
                <w:szCs w:val="24"/>
                <w:lang w:val="en-US" w:eastAsia="ja-JP"/>
              </w:rPr>
              <w:t>rehospitalization</w:t>
            </w:r>
            <w:proofErr w:type="spellEnd"/>
            <w:r w:rsidRPr="00787ADC">
              <w:rPr>
                <w:rFonts w:ascii="Times New Roman" w:eastAsia="MS Mincho" w:hAnsi="Times New Roman"/>
                <w:sz w:val="24"/>
                <w:szCs w:val="24"/>
                <w:lang w:val="en-US" w:eastAsia="ja-JP"/>
              </w:rPr>
              <w:t xml:space="preserve"> qualified as an SAE and was to be reported</w:t>
            </w:r>
          </w:p>
          <w:p w:rsidR="00FD2613" w:rsidRPr="00787ADC" w:rsidRDefault="00FD2613">
            <w:pPr>
              <w:rPr>
                <w:rFonts w:ascii="Times New Roman" w:hAnsi="Times New Roman"/>
                <w:lang w:val="en-US"/>
              </w:rPr>
            </w:pPr>
          </w:p>
        </w:tc>
        <w:tc>
          <w:tcPr>
            <w:tcW w:w="4786" w:type="dxa"/>
          </w:tcPr>
          <w:p w:rsidR="00FD2613" w:rsidRPr="00036131" w:rsidRDefault="00632F4E" w:rsidP="00036131">
            <w:pPr>
              <w:rPr>
                <w:rFonts w:ascii="Times New Roman" w:hAnsi="Times New Roman"/>
                <w:lang w:val="en-US"/>
              </w:rPr>
            </w:pPr>
            <w:r>
              <w:rPr>
                <w:rFonts w:ascii="Times New Roman" w:hAnsi="Times New Roman"/>
              </w:rPr>
              <w:t xml:space="preserve">Пациенты, которые не отвечают критериям выписки на 36-й день, возможно, были переоценены для выписки в любое время после 14-го дня или перед 21-м днем. Пациенты, которые не отвечают критериям выписки остаются госпитализированными </w:t>
            </w:r>
            <w:r w:rsidRPr="00632F4E">
              <w:rPr>
                <w:rFonts w:ascii="Times New Roman" w:hAnsi="Times New Roman"/>
              </w:rPr>
              <w:t>в течение оставшейся части 3-недельного двойного слепого этапа.</w:t>
            </w:r>
            <w:r>
              <w:rPr>
                <w:rFonts w:ascii="Times New Roman" w:hAnsi="Times New Roman"/>
              </w:rPr>
              <w:t xml:space="preserve"> </w:t>
            </w:r>
            <w:r w:rsidR="00036131">
              <w:rPr>
                <w:rFonts w:ascii="Times New Roman" w:hAnsi="Times New Roman"/>
              </w:rPr>
              <w:t>Обязательно</w:t>
            </w:r>
            <w:r w:rsidR="00036131" w:rsidRPr="00036131">
              <w:rPr>
                <w:rFonts w:ascii="Times New Roman" w:hAnsi="Times New Roman"/>
                <w:lang w:val="en-US"/>
              </w:rPr>
              <w:t xml:space="preserve"> </w:t>
            </w:r>
            <w:r w:rsidR="00036131">
              <w:rPr>
                <w:rFonts w:ascii="Times New Roman" w:hAnsi="Times New Roman"/>
              </w:rPr>
              <w:t>докладывать</w:t>
            </w:r>
            <w:r w:rsidR="00036131" w:rsidRPr="00036131">
              <w:rPr>
                <w:rFonts w:ascii="Times New Roman" w:hAnsi="Times New Roman"/>
                <w:lang w:val="en-US"/>
              </w:rPr>
              <w:t xml:space="preserve"> </w:t>
            </w:r>
            <w:r w:rsidR="00036131">
              <w:rPr>
                <w:rFonts w:ascii="Times New Roman" w:hAnsi="Times New Roman"/>
              </w:rPr>
              <w:t>о</w:t>
            </w:r>
            <w:r w:rsidR="00036131" w:rsidRPr="00036131">
              <w:rPr>
                <w:rFonts w:ascii="Times New Roman" w:hAnsi="Times New Roman"/>
                <w:lang w:val="en-US"/>
              </w:rPr>
              <w:t xml:space="preserve"> </w:t>
            </w:r>
            <w:r w:rsidR="00036131">
              <w:rPr>
                <w:rFonts w:ascii="Times New Roman" w:hAnsi="Times New Roman"/>
              </w:rPr>
              <w:t>л</w:t>
            </w:r>
            <w:r>
              <w:rPr>
                <w:rFonts w:ascii="Times New Roman" w:hAnsi="Times New Roman"/>
              </w:rPr>
              <w:t>юб</w:t>
            </w:r>
            <w:r w:rsidR="00036131">
              <w:rPr>
                <w:rFonts w:ascii="Times New Roman" w:hAnsi="Times New Roman"/>
              </w:rPr>
              <w:t>ой</w:t>
            </w:r>
            <w:r w:rsidR="00036131" w:rsidRPr="00036131">
              <w:rPr>
                <w:rFonts w:ascii="Times New Roman" w:hAnsi="Times New Roman"/>
                <w:lang w:val="en-US"/>
              </w:rPr>
              <w:t xml:space="preserve"> </w:t>
            </w:r>
            <w:r w:rsidR="00036131">
              <w:rPr>
                <w:rFonts w:ascii="Times New Roman" w:hAnsi="Times New Roman"/>
              </w:rPr>
              <w:t>повторной</w:t>
            </w:r>
            <w:r w:rsidRPr="00036131">
              <w:rPr>
                <w:rFonts w:ascii="Times New Roman" w:hAnsi="Times New Roman"/>
                <w:lang w:val="en-US"/>
              </w:rPr>
              <w:t xml:space="preserve"> </w:t>
            </w:r>
            <w:r>
              <w:rPr>
                <w:rFonts w:ascii="Times New Roman" w:hAnsi="Times New Roman"/>
              </w:rPr>
              <w:t>госпитализаци</w:t>
            </w:r>
            <w:r w:rsidR="00036131">
              <w:rPr>
                <w:rFonts w:ascii="Times New Roman" w:hAnsi="Times New Roman"/>
              </w:rPr>
              <w:t>и</w:t>
            </w:r>
            <w:r w:rsidRPr="00036131">
              <w:rPr>
                <w:rFonts w:ascii="Times New Roman" w:hAnsi="Times New Roman"/>
                <w:lang w:val="en-US"/>
              </w:rPr>
              <w:t xml:space="preserve"> </w:t>
            </w:r>
            <w:r>
              <w:rPr>
                <w:rFonts w:ascii="Times New Roman" w:hAnsi="Times New Roman"/>
              </w:rPr>
              <w:t>квалифицирован</w:t>
            </w:r>
            <w:r w:rsidR="00036131">
              <w:rPr>
                <w:rFonts w:ascii="Times New Roman" w:hAnsi="Times New Roman"/>
              </w:rPr>
              <w:t>ной</w:t>
            </w:r>
            <w:r w:rsidRPr="00036131">
              <w:rPr>
                <w:rFonts w:ascii="Times New Roman" w:hAnsi="Times New Roman"/>
                <w:lang w:val="en-US"/>
              </w:rPr>
              <w:t xml:space="preserve">, </w:t>
            </w:r>
            <w:r>
              <w:rPr>
                <w:rFonts w:ascii="Times New Roman" w:hAnsi="Times New Roman"/>
              </w:rPr>
              <w:t>как</w:t>
            </w:r>
            <w:r w:rsidRPr="00036131">
              <w:rPr>
                <w:rFonts w:ascii="Times New Roman" w:hAnsi="Times New Roman"/>
                <w:lang w:val="en-US"/>
              </w:rPr>
              <w:t xml:space="preserve"> </w:t>
            </w:r>
            <w:r>
              <w:rPr>
                <w:rFonts w:ascii="Times New Roman" w:hAnsi="Times New Roman"/>
              </w:rPr>
              <w:t>ТПЭ</w:t>
            </w:r>
            <w:r w:rsidR="00036131" w:rsidRPr="00036131">
              <w:rPr>
                <w:rFonts w:ascii="Times New Roman" w:hAnsi="Times New Roman"/>
                <w:lang w:val="en-US"/>
              </w:rPr>
              <w:t>.</w:t>
            </w:r>
            <w:r w:rsidRPr="00036131">
              <w:rPr>
                <w:rFonts w:ascii="Times New Roman" w:hAnsi="Times New Roman"/>
                <w:lang w:val="en-US"/>
              </w:rPr>
              <w:t xml:space="preserve"> </w:t>
            </w:r>
          </w:p>
        </w:tc>
      </w:tr>
      <w:tr w:rsidR="00FD2613" w:rsidRPr="00036131" w:rsidTr="00FD2613">
        <w:tc>
          <w:tcPr>
            <w:tcW w:w="4785" w:type="dxa"/>
          </w:tcPr>
          <w:p w:rsidR="00FD2613" w:rsidRPr="00787ADC" w:rsidRDefault="005F5381" w:rsidP="002A7680">
            <w:pPr>
              <w:autoSpaceDE w:val="0"/>
              <w:autoSpaceDN w:val="0"/>
              <w:adjustRightInd w:val="0"/>
              <w:rPr>
                <w:rFonts w:ascii="Times New Roman" w:hAnsi="Times New Roman"/>
                <w:lang w:val="en-US"/>
              </w:rPr>
            </w:pPr>
            <w:r w:rsidRPr="00787ADC">
              <w:rPr>
                <w:rFonts w:ascii="Times New Roman" w:eastAsiaTheme="minorHAnsi" w:hAnsi="Times New Roman"/>
                <w:sz w:val="24"/>
                <w:szCs w:val="24"/>
                <w:lang w:val="en-US"/>
              </w:rPr>
              <w:t xml:space="preserve">Pharmacokinetic linearity was assumed in these simulations. The study was performed by administering a 500 mg dose and since the half-life was longer in this population, a dose reduction is needed. Profiles for lower doses are simulated assuming that the pharmacokinetics will stay linear at the lower doses in </w:t>
            </w:r>
            <w:r w:rsidR="002A7680" w:rsidRPr="00787ADC">
              <w:rPr>
                <w:rFonts w:ascii="Times New Roman" w:eastAsiaTheme="minorHAnsi" w:hAnsi="Times New Roman"/>
                <w:sz w:val="24"/>
                <w:szCs w:val="24"/>
                <w:lang w:val="en-US"/>
              </w:rPr>
              <w:t xml:space="preserve">these </w:t>
            </w:r>
            <w:r w:rsidRPr="00787ADC">
              <w:rPr>
                <w:rFonts w:ascii="Times New Roman" w:eastAsiaTheme="minorHAnsi" w:hAnsi="Times New Roman"/>
                <w:sz w:val="24"/>
                <w:szCs w:val="24"/>
                <w:lang w:val="en-US"/>
              </w:rPr>
              <w:t>subjects.</w:t>
            </w:r>
          </w:p>
        </w:tc>
        <w:tc>
          <w:tcPr>
            <w:tcW w:w="4786" w:type="dxa"/>
          </w:tcPr>
          <w:p w:rsidR="00FD2613" w:rsidRPr="00036131" w:rsidRDefault="00036131" w:rsidP="006472F8">
            <w:pPr>
              <w:rPr>
                <w:rFonts w:ascii="Times New Roman" w:hAnsi="Times New Roman"/>
              </w:rPr>
            </w:pPr>
            <w:r>
              <w:rPr>
                <w:rFonts w:ascii="Times New Roman" w:hAnsi="Times New Roman"/>
              </w:rPr>
              <w:t>В этих моделях предполагалась фармакокинетическая линейность.</w:t>
            </w:r>
            <w:r w:rsidR="0069446D">
              <w:rPr>
                <w:rFonts w:ascii="Times New Roman" w:hAnsi="Times New Roman"/>
              </w:rPr>
              <w:t xml:space="preserve"> Исследование проводилось путем ввода дозы 500мг, учитывая, что период полувыведения в этой группе был больше, </w:t>
            </w:r>
            <w:r w:rsidR="006472F8">
              <w:rPr>
                <w:rFonts w:ascii="Times New Roman" w:hAnsi="Times New Roman"/>
              </w:rPr>
              <w:t xml:space="preserve">необходимо снижение дозы. Профили на более низких дозах моделируются на предположении, что </w:t>
            </w:r>
            <w:proofErr w:type="spellStart"/>
            <w:r w:rsidR="006472F8">
              <w:rPr>
                <w:rFonts w:ascii="Times New Roman" w:hAnsi="Times New Roman"/>
              </w:rPr>
              <w:t>фармакокинетика</w:t>
            </w:r>
            <w:proofErr w:type="spellEnd"/>
            <w:r w:rsidR="006472F8">
              <w:rPr>
                <w:rFonts w:ascii="Times New Roman" w:hAnsi="Times New Roman"/>
              </w:rPr>
              <w:t xml:space="preserve"> останется линейной при более низких дозах у субъектов.  </w:t>
            </w:r>
          </w:p>
        </w:tc>
      </w:tr>
      <w:tr w:rsidR="00C45805" w:rsidRPr="00300ACF" w:rsidTr="00FD2613">
        <w:tc>
          <w:tcPr>
            <w:tcW w:w="4785" w:type="dxa"/>
          </w:tcPr>
          <w:p w:rsidR="00C45805" w:rsidRPr="00787ADC" w:rsidRDefault="00C45805" w:rsidP="00420BE5">
            <w:pPr>
              <w:jc w:val="both"/>
              <w:rPr>
                <w:rFonts w:ascii="Times New Roman" w:hAnsi="Times New Roman"/>
                <w:sz w:val="24"/>
                <w:szCs w:val="24"/>
                <w:lang w:val="en-US"/>
              </w:rPr>
            </w:pPr>
            <w:r w:rsidRPr="00787ADC">
              <w:rPr>
                <w:rFonts w:ascii="Times New Roman" w:hAnsi="Times New Roman"/>
                <w:sz w:val="24"/>
                <w:szCs w:val="24"/>
                <w:lang w:val="en-US"/>
              </w:rPr>
              <w:t>ITT (intent-to-treat population)</w:t>
            </w:r>
          </w:p>
          <w:p w:rsidR="00D70FEF" w:rsidRPr="00787ADC" w:rsidRDefault="00D70FEF" w:rsidP="00420BE5">
            <w:pPr>
              <w:jc w:val="both"/>
              <w:rPr>
                <w:rFonts w:ascii="Times New Roman" w:hAnsi="Times New Roman"/>
                <w:sz w:val="24"/>
                <w:szCs w:val="24"/>
                <w:lang w:val="en-US"/>
              </w:rPr>
            </w:pPr>
          </w:p>
        </w:tc>
        <w:tc>
          <w:tcPr>
            <w:tcW w:w="4786" w:type="dxa"/>
          </w:tcPr>
          <w:p w:rsidR="00C45805" w:rsidRPr="00B95F3C" w:rsidRDefault="00B95F3C" w:rsidP="00B95F3C">
            <w:pPr>
              <w:rPr>
                <w:rFonts w:ascii="Times New Roman" w:hAnsi="Times New Roman"/>
              </w:rPr>
            </w:pPr>
            <w:r>
              <w:rPr>
                <w:rFonts w:ascii="Times New Roman" w:hAnsi="Times New Roman"/>
                <w:lang w:val="hu-HU"/>
              </w:rPr>
              <w:t>ITT (</w:t>
            </w:r>
            <w:r>
              <w:rPr>
                <w:rFonts w:ascii="Times New Roman" w:hAnsi="Times New Roman"/>
              </w:rPr>
              <w:t xml:space="preserve">назначенное лечение пациентов  </w:t>
            </w:r>
            <w:r>
              <w:rPr>
                <w:rFonts w:ascii="Times New Roman" w:hAnsi="Times New Roman"/>
                <w:lang w:val="hu-HU"/>
              </w:rPr>
              <w:t>)</w:t>
            </w:r>
          </w:p>
        </w:tc>
      </w:tr>
      <w:tr w:rsidR="00C45805" w:rsidRPr="00B95F3C" w:rsidTr="00FD2613">
        <w:tc>
          <w:tcPr>
            <w:tcW w:w="4785" w:type="dxa"/>
          </w:tcPr>
          <w:p w:rsidR="00C45805" w:rsidRPr="00787ADC" w:rsidRDefault="00C45805" w:rsidP="00C45805">
            <w:pPr>
              <w:rPr>
                <w:rFonts w:ascii="Times New Roman" w:hAnsi="Times New Roman"/>
                <w:sz w:val="24"/>
                <w:szCs w:val="24"/>
                <w:lang w:val="en-US"/>
              </w:rPr>
            </w:pPr>
            <w:r w:rsidRPr="00787ADC">
              <w:rPr>
                <w:rFonts w:ascii="Times New Roman" w:hAnsi="Times New Roman"/>
                <w:sz w:val="24"/>
                <w:szCs w:val="24"/>
                <w:lang w:val="en-US"/>
              </w:rPr>
              <w:t>This was a two-period, two sequences, block-randomized, single-dose bioequivalence study, including hospitalization of subjects until 24 hours post administration.</w:t>
            </w:r>
          </w:p>
        </w:tc>
        <w:tc>
          <w:tcPr>
            <w:tcW w:w="4786" w:type="dxa"/>
          </w:tcPr>
          <w:p w:rsidR="00C45805" w:rsidRPr="00B95F3C" w:rsidRDefault="00B95F3C" w:rsidP="0095648D">
            <w:pPr>
              <w:rPr>
                <w:rFonts w:ascii="Times New Roman" w:hAnsi="Times New Roman"/>
              </w:rPr>
            </w:pPr>
            <w:r>
              <w:rPr>
                <w:rFonts w:ascii="Times New Roman" w:hAnsi="Times New Roman"/>
              </w:rPr>
              <w:t>Это было биоэквивалентное исследование одной дозой, в два периода, в две последовательности и</w:t>
            </w:r>
            <w:r w:rsidR="0095648D">
              <w:rPr>
                <w:rFonts w:ascii="Times New Roman" w:hAnsi="Times New Roman"/>
              </w:rPr>
              <w:t xml:space="preserve"> </w:t>
            </w:r>
            <w:proofErr w:type="spellStart"/>
            <w:r w:rsidR="0095648D">
              <w:rPr>
                <w:rFonts w:ascii="Times New Roman" w:hAnsi="Times New Roman"/>
              </w:rPr>
              <w:t>рандомизированным</w:t>
            </w:r>
            <w:proofErr w:type="spellEnd"/>
            <w:r w:rsidR="0095648D">
              <w:rPr>
                <w:rFonts w:ascii="Times New Roman" w:hAnsi="Times New Roman"/>
              </w:rPr>
              <w:t xml:space="preserve"> блоком</w:t>
            </w:r>
            <w:r>
              <w:rPr>
                <w:rFonts w:ascii="Times New Roman" w:hAnsi="Times New Roman"/>
              </w:rPr>
              <w:t xml:space="preserve">, </w:t>
            </w:r>
            <w:r w:rsidR="0095648D">
              <w:rPr>
                <w:rFonts w:ascii="Times New Roman" w:hAnsi="Times New Roman"/>
              </w:rPr>
              <w:t xml:space="preserve">включая госпитализацию субъектов до 24-х часов после введения. </w:t>
            </w:r>
          </w:p>
        </w:tc>
      </w:tr>
      <w:tr w:rsidR="006452AE" w:rsidRPr="0095648D" w:rsidTr="00FD2613">
        <w:tc>
          <w:tcPr>
            <w:tcW w:w="4785" w:type="dxa"/>
          </w:tcPr>
          <w:p w:rsidR="006452AE" w:rsidRPr="00787ADC" w:rsidRDefault="006452AE" w:rsidP="006452AE">
            <w:pPr>
              <w:rPr>
                <w:rFonts w:ascii="Times New Roman" w:hAnsi="Times New Roman"/>
                <w:sz w:val="24"/>
                <w:szCs w:val="24"/>
                <w:lang w:val="en-US"/>
              </w:rPr>
            </w:pPr>
            <w:r w:rsidRPr="00787ADC">
              <w:rPr>
                <w:rFonts w:ascii="Times New Roman" w:hAnsi="Times New Roman"/>
                <w:sz w:val="24"/>
                <w:szCs w:val="24"/>
                <w:lang w:val="en-US"/>
              </w:rPr>
              <w:t>Dosing.  XXX’s once-daily dosing regimen makes it a particularly attractive option for the treatment of acid-related diseases among pediatric and older individuals</w:t>
            </w:r>
          </w:p>
        </w:tc>
        <w:tc>
          <w:tcPr>
            <w:tcW w:w="4786" w:type="dxa"/>
          </w:tcPr>
          <w:p w:rsidR="006452AE" w:rsidRPr="0095648D" w:rsidRDefault="0095648D">
            <w:pPr>
              <w:rPr>
                <w:rFonts w:ascii="Times New Roman" w:hAnsi="Times New Roman"/>
              </w:rPr>
            </w:pPr>
            <w:r>
              <w:rPr>
                <w:rFonts w:ascii="Times New Roman" w:hAnsi="Times New Roman"/>
              </w:rPr>
              <w:t xml:space="preserve">Дозировка. Режим дозирования ХХХ один раз в день делает его особенно привлекательным вариантом для лечения заболеваний связанных с кислотностью среди детей и лиц старшего возраста. </w:t>
            </w:r>
            <w:bookmarkStart w:id="0" w:name="_GoBack"/>
            <w:bookmarkEnd w:id="0"/>
            <w:r>
              <w:rPr>
                <w:rFonts w:ascii="Times New Roman" w:hAnsi="Times New Roman"/>
              </w:rPr>
              <w:t xml:space="preserve"> </w:t>
            </w:r>
          </w:p>
        </w:tc>
      </w:tr>
    </w:tbl>
    <w:p w:rsidR="00FD2613" w:rsidRPr="0095648D" w:rsidRDefault="00FD2613"/>
    <w:sectPr w:rsidR="00FD2613" w:rsidRPr="0095648D" w:rsidSect="009812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083"/>
    <w:rsid w:val="0003102B"/>
    <w:rsid w:val="00036131"/>
    <w:rsid w:val="001120C3"/>
    <w:rsid w:val="002A7680"/>
    <w:rsid w:val="00300ACF"/>
    <w:rsid w:val="003260AE"/>
    <w:rsid w:val="00420BE5"/>
    <w:rsid w:val="005F0083"/>
    <w:rsid w:val="005F5381"/>
    <w:rsid w:val="00632F4E"/>
    <w:rsid w:val="006452AE"/>
    <w:rsid w:val="006472F8"/>
    <w:rsid w:val="0069446D"/>
    <w:rsid w:val="006A7631"/>
    <w:rsid w:val="00787ADC"/>
    <w:rsid w:val="007C3550"/>
    <w:rsid w:val="007E5846"/>
    <w:rsid w:val="0095648D"/>
    <w:rsid w:val="009812E2"/>
    <w:rsid w:val="00A36AAB"/>
    <w:rsid w:val="00B95F3C"/>
    <w:rsid w:val="00C45805"/>
    <w:rsid w:val="00D70FEF"/>
    <w:rsid w:val="00E25803"/>
    <w:rsid w:val="00EA5BC9"/>
    <w:rsid w:val="00FD2613"/>
    <w:rsid w:val="00FF2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61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таблицы"/>
    <w:basedOn w:val="a"/>
    <w:autoRedefine/>
    <w:qFormat/>
    <w:rsid w:val="0003102B"/>
    <w:rPr>
      <w:rFonts w:asciiTheme="minorHAnsi" w:eastAsiaTheme="minorEastAsia" w:hAnsiTheme="minorHAnsi" w:cstheme="minorBidi"/>
      <w:b/>
      <w:lang w:eastAsia="ru-RU"/>
    </w:rPr>
  </w:style>
  <w:style w:type="table" w:styleId="a4">
    <w:name w:val="Table Grid"/>
    <w:basedOn w:val="a1"/>
    <w:uiPriority w:val="59"/>
    <w:rsid w:val="00FD2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61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таблицы"/>
    <w:basedOn w:val="a"/>
    <w:autoRedefine/>
    <w:qFormat/>
    <w:rsid w:val="0003102B"/>
    <w:rPr>
      <w:rFonts w:asciiTheme="minorHAnsi" w:eastAsiaTheme="minorEastAsia" w:hAnsiTheme="minorHAnsi" w:cstheme="minorBidi"/>
      <w:b/>
      <w:lang w:eastAsia="ru-RU"/>
    </w:rPr>
  </w:style>
  <w:style w:type="table" w:styleId="a4">
    <w:name w:val="Table Grid"/>
    <w:basedOn w:val="a1"/>
    <w:uiPriority w:val="59"/>
    <w:rsid w:val="00FD2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1</Pages>
  <Words>2138</Words>
  <Characters>1219</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RePack by Diakov</cp:lastModifiedBy>
  <cp:revision>8</cp:revision>
  <dcterms:created xsi:type="dcterms:W3CDTF">2013-01-06T16:22:00Z</dcterms:created>
  <dcterms:modified xsi:type="dcterms:W3CDTF">2014-08-19T10:21:00Z</dcterms:modified>
</cp:coreProperties>
</file>