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pacing w:line="288" w:lineRule="auto"/>
        <w:ind w:hanging="0" w:left="0" w:right="0"/>
        <w:jc w:val="left"/>
        <w:rPr/>
      </w:pPr>
      <w:r>
        <w:rPr/>
      </w:r>
    </w:p>
    <w:p>
      <w:pPr>
        <w:pStyle w:val="style0"/>
        <w:widowControl/>
        <w:spacing w:line="288" w:lineRule="auto"/>
        <w:ind w:hanging="0" w:left="0" w:right="0"/>
        <w:jc w:val="center"/>
        <w:rPr>
          <w:b/>
          <w:bCs/>
          <w:sz w:val="24"/>
          <w:szCs w:val="24"/>
        </w:rPr>
      </w:pPr>
      <w:bookmarkStart w:id="0" w:name="__DdeLink__82_411686494"/>
      <w:bookmarkEnd w:id="0"/>
      <w:r>
        <w:rPr>
          <w:b/>
          <w:bCs/>
          <w:sz w:val="24"/>
          <w:szCs w:val="24"/>
        </w:rPr>
        <w:t>Выбор двери для дома — защитные качества</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 xml:space="preserve">Входная металлическая дверь не просто элемент интерьерного решения. Её основное назначение — защита жилища. Поэтому, нужно ориентироваться не  на внешний вид или ценовую группу, а на технические качества изделия. Защитные входные двери имеют деление на типы по разным параметрам. </w:t>
        <w:drawing>
          <wp:anchor allowOverlap="1" behindDoc="0" distB="0" distL="0" distR="0" distT="0" layoutInCell="1" locked="0" relativeHeight="0" simplePos="0">
            <wp:simplePos x="0" y="0"/>
            <wp:positionH relativeFrom="column">
              <wp:posOffset>3208020</wp:posOffset>
            </wp:positionH>
            <wp:positionV relativeFrom="paragraph">
              <wp:posOffset>53340</wp:posOffset>
            </wp:positionV>
            <wp:extent cx="2857500" cy="2857500"/>
            <wp:effectExtent b="0" l="0" r="0" t="0"/>
            <wp:wrapSquare wrapText="largest"/>
            <wp:docPr descr="A description..."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Их возможно подразделить на:</w:t>
      </w:r>
    </w:p>
    <w:p>
      <w:pPr>
        <w:pStyle w:val="style0"/>
        <w:widowControl/>
        <w:numPr>
          <w:ilvl w:val="0"/>
          <w:numId w:val="1"/>
        </w:numPr>
        <w:spacing w:line="288" w:lineRule="auto"/>
        <w:jc w:val="left"/>
        <w:rPr>
          <w:sz w:val="21"/>
          <w:szCs w:val="21"/>
        </w:rPr>
      </w:pPr>
      <w:r>
        <w:rPr>
          <w:sz w:val="21"/>
          <w:szCs w:val="21"/>
        </w:rPr>
        <w:t>группы противодействия оружию;</w:t>
      </w:r>
    </w:p>
    <w:p>
      <w:pPr>
        <w:pStyle w:val="style0"/>
        <w:widowControl/>
        <w:numPr>
          <w:ilvl w:val="0"/>
          <w:numId w:val="1"/>
        </w:numPr>
        <w:spacing w:line="288" w:lineRule="auto"/>
        <w:jc w:val="left"/>
        <w:rPr>
          <w:sz w:val="21"/>
          <w:szCs w:val="21"/>
        </w:rPr>
      </w:pPr>
      <w:r>
        <w:rPr>
          <w:sz w:val="21"/>
          <w:szCs w:val="21"/>
        </w:rPr>
        <w:t>материал двери;</w:t>
      </w:r>
    </w:p>
    <w:p>
      <w:pPr>
        <w:pStyle w:val="style0"/>
        <w:widowControl/>
        <w:numPr>
          <w:ilvl w:val="0"/>
          <w:numId w:val="1"/>
        </w:numPr>
        <w:spacing w:line="288" w:lineRule="auto"/>
        <w:jc w:val="left"/>
        <w:rPr>
          <w:sz w:val="21"/>
          <w:szCs w:val="21"/>
        </w:rPr>
      </w:pPr>
      <w:r>
        <w:rPr>
          <w:sz w:val="21"/>
          <w:szCs w:val="21"/>
        </w:rPr>
        <w:t>тип каркаса;</w:t>
      </w:r>
    </w:p>
    <w:p>
      <w:pPr>
        <w:pStyle w:val="style0"/>
        <w:widowControl/>
        <w:numPr>
          <w:ilvl w:val="0"/>
          <w:numId w:val="1"/>
        </w:numPr>
        <w:spacing w:line="288" w:lineRule="auto"/>
        <w:jc w:val="left"/>
        <w:rPr>
          <w:sz w:val="21"/>
          <w:szCs w:val="21"/>
        </w:rPr>
      </w:pPr>
      <w:r>
        <w:rPr>
          <w:sz w:val="21"/>
          <w:szCs w:val="21"/>
        </w:rPr>
        <w:t>тип и количество замков.</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Заверения фирмы-продавца о качестве и надёжности двери должны подтверждаться данными по всем показателям.</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Группа защиты указывается в характеристиках материала, сталь разной толщины, в сочетании с другими компонентами, обеспечивает разные степени защиты. Это отражается в сертификате соответствия, который должна иметь дверь.</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При выборе изделия нужно знать, что для качественной защиты от взлома дверь предполагает открытие наружу. Такое расположение не даст возможность использовать для вскрытия домкрат. Дополнительно рекомендуется «утопить» дверь в проём, не оставляя зазоров.</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Толщина листа стали не может быть менее 2 мм, оптимальный вариант 3-7мм. Это гарантирует трудоёмкость вскрытия двери при помощи режущих инструментов. Показатели основываются на ГОСТе.</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Дверной каркас должен иметь плотное прилегание к проему. Пустоты и неровности необходимо устранить, используя штукатурку. Штыри, крепящие коробку к стене, обязаны иметь достаточную длину. Устанавливать их нужно внутри помещения, не с наружной стороны. Чтобы дверь не снималась с с петель при срезании их, используются противосъемные штыри. Когда дверь закрыта «защитники» фиксируют положение, заходя в пазы коробки и держат дверь, если петли срезаны.</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Замков на металлической двери требуется минимум два. По типу запора они должны отличаться (штифтовой/сувальдный). В магазинах есть двери с двумя замками, один из которых сейфового типа. Такая конструкция имеет множество разнонаправленных ригелей. Присутствует кнопочный механизм закрытия двери снаружи. Эта разновидность надёжно защищает от выбивания двери, подбор отмычек и вскрытие затруднено. Используются системы с двумя дверями с подключением наружной к пульту охраны.</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Защитная дверь должна получить качественный глазок без искажения изображения, возможно применение освещения двери, как дополнительно фактора отпугивающего незваных визитёров. Помимо стандартной комплектации можно устанавливать цепочки, щеколды. Для первых этажей актуально дополнительное оборудование сигнализации на окнах, помимо двери.</w:t>
      </w:r>
    </w:p>
    <w:p>
      <w:pPr>
        <w:pStyle w:val="style0"/>
        <w:widowControl/>
        <w:spacing w:line="288" w:lineRule="auto"/>
        <w:ind w:hanging="0" w:left="0" w:right="0"/>
        <w:jc w:val="left"/>
        <w:rPr/>
      </w:pPr>
      <w:r>
        <w:rPr/>
      </w:r>
    </w:p>
    <w:p>
      <w:pPr>
        <w:pStyle w:val="style0"/>
        <w:widowControl/>
        <w:spacing w:line="288" w:lineRule="auto"/>
        <w:ind w:hanging="0" w:left="0" w:right="0"/>
        <w:jc w:val="left"/>
        <w:rPr>
          <w:sz w:val="21"/>
          <w:szCs w:val="21"/>
        </w:rPr>
      </w:pPr>
      <w:r>
        <w:rPr>
          <w:sz w:val="21"/>
          <w:szCs w:val="21"/>
        </w:rPr>
        <w:t>Стопроцентная гарантия защищённости конечно недостижима, но знание всех факторов и умение выбрать нужную дверь, будет основой качественной защиты дома.</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Hindi" w:eastAsia="DejaVu Sans" w:hAnsi="Liberation Serif"/>
      <w:color w:val="auto"/>
      <w:sz w:val="24"/>
      <w:szCs w:val="24"/>
      <w:lang w:bidi="hi-IN" w:eastAsia="zh-CN" w:val="ru-RU"/>
    </w:rPr>
  </w:style>
  <w:style w:styleId="style15" w:type="character">
    <w:name w:val="Интернет-ссылка"/>
    <w:next w:val="style15"/>
    <w:rPr>
      <w:color w:val="000080"/>
      <w:u w:val="single"/>
      <w:lang w:bidi="zxx-" w:eastAsia="zxx-" w:val="zxx-"/>
    </w:rPr>
  </w:style>
  <w:style w:styleId="style16" w:type="character">
    <w:name w:val="ListLabel 5"/>
    <w:next w:val="style16"/>
    <w:rPr>
      <w:rFonts w:cs="Symbol"/>
    </w:rPr>
  </w:style>
  <w:style w:styleId="style17" w:type="character">
    <w:name w:val="ListLabel 6"/>
    <w:next w:val="style17"/>
    <w:rPr>
      <w:rFonts w:cs="OpenSymbol"/>
    </w:rPr>
  </w:style>
  <w:style w:styleId="style18" w:type="paragraph">
    <w:name w:val="Заголовок"/>
    <w:basedOn w:val="style0"/>
    <w:next w:val="style19"/>
    <w:pPr>
      <w:keepNext/>
      <w:spacing w:after="120" w:before="240"/>
      <w:contextualSpacing w:val="false"/>
    </w:pPr>
    <w:rPr>
      <w:rFonts w:ascii="Liberation Sans" w:cs="Lohit Hindi" w:eastAsia="DejaVu Sans" w:hAnsi="Liberation Sans"/>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Lohit Hindi"/>
    </w:rPr>
  </w:style>
  <w:style w:styleId="style21" w:type="paragraph">
    <w:name w:val="Название"/>
    <w:basedOn w:val="style0"/>
    <w:next w:val="style21"/>
    <w:pPr>
      <w:suppressLineNumbers/>
      <w:spacing w:after="120" w:before="120"/>
      <w:contextualSpacing w:val="false"/>
    </w:pPr>
    <w:rPr>
      <w:rFonts w:cs="Lohit Hindi"/>
      <w:i/>
      <w:iCs/>
      <w:sz w:val="24"/>
      <w:szCs w:val="24"/>
    </w:rPr>
  </w:style>
  <w:style w:styleId="style22" w:type="paragraph">
    <w:name w:val="Указатель"/>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2014-10-06T19:05:38Z</dcterms:created>
  <dcterms:modified xsi:type="dcterms:W3CDTF">2014-10-06T19:06:26Z</dcterms:modified>
  <cp:revision>2</cp:revision>
</cp:coreProperties>
</file>