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D3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E30CA" w:rsidRDefault="003E30CA" w:rsidP="003E30CA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Pr="007D1375" w:rsidRDefault="003E30CA" w:rsidP="003E30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Данная работа является исследованием, цель которого – получение данных </w:t>
      </w:r>
      <w:r>
        <w:rPr>
          <w:rFonts w:ascii="Times New Roman" w:hAnsi="Times New Roman"/>
          <w:sz w:val="28"/>
          <w:szCs w:val="28"/>
        </w:rPr>
        <w:t>о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 рыночны</w:t>
      </w:r>
      <w:r>
        <w:rPr>
          <w:rFonts w:ascii="Times New Roman" w:hAnsi="Times New Roman"/>
          <w:sz w:val="28"/>
          <w:szCs w:val="28"/>
        </w:rPr>
        <w:t>х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 условия функционирования 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» и определение направления дальнейшей маркетинговой деятельности фирмы. </w:t>
      </w:r>
      <w:proofErr w:type="gramEnd"/>
    </w:p>
    <w:p w:rsidR="003E30CA" w:rsidRPr="007D1375" w:rsidRDefault="003E30CA" w:rsidP="003E30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Объектом исследования выступают: хлебобулочные изделия, 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>» как производитель данного товара и его потребители.</w:t>
      </w:r>
    </w:p>
    <w:p w:rsidR="003E30CA" w:rsidRPr="007D1375" w:rsidRDefault="003E30CA" w:rsidP="003E30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– потребительские качества хлебобулочных изделий 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eastAsia="Calibri" w:hAnsi="Times New Roman" w:cs="Times New Roman"/>
          <w:sz w:val="28"/>
          <w:szCs w:val="28"/>
        </w:rPr>
        <w:t>», а также реакция потребителей на исследуемые качества.</w:t>
      </w:r>
    </w:p>
    <w:p w:rsidR="003E30CA" w:rsidRPr="007D1375" w:rsidRDefault="003E30CA" w:rsidP="003E30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75">
        <w:rPr>
          <w:rFonts w:ascii="Times New Roman" w:eastAsia="Calibri" w:hAnsi="Times New Roman" w:cs="Times New Roman"/>
          <w:sz w:val="28"/>
          <w:szCs w:val="28"/>
        </w:rPr>
        <w:t>Задачи исследования:</w:t>
      </w:r>
    </w:p>
    <w:p w:rsidR="003E30CA" w:rsidRPr="007D1375" w:rsidRDefault="003E30CA" w:rsidP="003E30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375">
        <w:rPr>
          <w:rFonts w:ascii="Times New Roman" w:hAnsi="Times New Roman"/>
          <w:sz w:val="28"/>
          <w:szCs w:val="28"/>
        </w:rPr>
        <w:t>Изучение рынка хлебобулочных изделий в Украине и в Харьковском регионе.</w:t>
      </w:r>
    </w:p>
    <w:p w:rsidR="003E30CA" w:rsidRPr="007D1375" w:rsidRDefault="003E30CA" w:rsidP="003E30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375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 w:rsidRPr="007D1375">
        <w:rPr>
          <w:rFonts w:ascii="Times New Roman" w:hAnsi="Times New Roman"/>
          <w:sz w:val="28"/>
          <w:szCs w:val="28"/>
        </w:rPr>
        <w:t>», как одного из основных производителей хлебобулочных изделий в Харьковском регионе и его продукции.</w:t>
      </w:r>
    </w:p>
    <w:p w:rsidR="003E30CA" w:rsidRPr="007D1375" w:rsidRDefault="003E30CA" w:rsidP="003E30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375">
        <w:rPr>
          <w:rFonts w:ascii="Times New Roman" w:hAnsi="Times New Roman"/>
          <w:sz w:val="28"/>
          <w:szCs w:val="28"/>
        </w:rPr>
        <w:t>Сбор и анализ первичной информации о товаре, путем проведения анкетирования и обработке полученных данных.</w:t>
      </w:r>
    </w:p>
    <w:p w:rsidR="003E30CA" w:rsidRDefault="003E30CA" w:rsidP="003E30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375">
        <w:rPr>
          <w:rFonts w:ascii="Times New Roman" w:hAnsi="Times New Roman"/>
          <w:sz w:val="28"/>
          <w:szCs w:val="28"/>
        </w:rPr>
        <w:t>Разработка рекомендаций об усовершенствовании применяемой маркетинговой политики.</w:t>
      </w:r>
    </w:p>
    <w:p w:rsidR="003E30CA" w:rsidRPr="007D1375" w:rsidRDefault="003E30CA" w:rsidP="003E30CA">
      <w:pPr>
        <w:pStyle w:val="a3"/>
        <w:pBdr>
          <w:bottom w:val="dotted" w:sz="24" w:space="1" w:color="auto"/>
        </w:pBd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РАЗДЕЛ 1</w:t>
      </w:r>
    </w:p>
    <w:p w:rsidR="003E30CA" w:rsidRPr="004B63D8" w:rsidRDefault="003E30CA" w:rsidP="003E30C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63D8">
        <w:rPr>
          <w:rFonts w:ascii="Times New Roman" w:hAnsi="Times New Roman"/>
          <w:sz w:val="28"/>
          <w:szCs w:val="28"/>
        </w:rPr>
        <w:t xml:space="preserve">ОБЩАЯ ХАРАКТЕРИСТИКА РЫНКА </w:t>
      </w:r>
    </w:p>
    <w:p w:rsidR="003E30CA" w:rsidRPr="004B63D8" w:rsidRDefault="003E30CA" w:rsidP="003E30C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63D8">
        <w:rPr>
          <w:rFonts w:ascii="Times New Roman" w:hAnsi="Times New Roman"/>
          <w:sz w:val="28"/>
          <w:szCs w:val="28"/>
        </w:rPr>
        <w:t>ХЛЕБОБУЛОЧНЫХ ИЗДЕЛИЙ</w:t>
      </w:r>
    </w:p>
    <w:p w:rsidR="003E30CA" w:rsidRPr="007D1375" w:rsidRDefault="003E30CA" w:rsidP="003E30C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3E30CA" w:rsidRDefault="003E30CA" w:rsidP="003E30C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хлебобулочных изделий Украины.</w:t>
      </w:r>
    </w:p>
    <w:p w:rsidR="003E30CA" w:rsidRDefault="003E30CA" w:rsidP="003E30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E30CA" w:rsidRPr="007D1375" w:rsidRDefault="003E30CA" w:rsidP="003E3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75">
        <w:rPr>
          <w:rFonts w:ascii="Times New Roman" w:eastAsia="Calibri" w:hAnsi="Times New Roman" w:cs="Times New Roman"/>
          <w:sz w:val="28"/>
          <w:szCs w:val="28"/>
        </w:rPr>
        <w:t>Хлебопекарная отрасль играет важную социальную и стратегическую роль в жизни общества. В суммарном объеме продукции всей пищевой отрасли Украины она занимает одно ведущих мест, а доля хлебопродуктов в рационе населения нашей страны составляет 15 %, что подтверждает их статус основного продукта питания. Традиционно этой отрасли уделяют меньше внимания, но любые изменения, которые происходят на рынке хлебобулочных изделий, моментально влияет на экономическую и социально-политическую жизнь страны.</w:t>
      </w:r>
    </w:p>
    <w:p w:rsidR="003E30CA" w:rsidRDefault="003E30CA" w:rsidP="003E30CA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CA" w:rsidRPr="003124A6" w:rsidRDefault="003E30CA" w:rsidP="003E3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4A6">
        <w:rPr>
          <w:rFonts w:ascii="Times New Roman" w:eastAsia="Calibri" w:hAnsi="Times New Roman" w:cs="Times New Roman"/>
          <w:sz w:val="28"/>
          <w:szCs w:val="28"/>
        </w:rPr>
        <w:t>Национальная хлебопекарная отрасль работает в режиме «натурального хозяйства»: что произвели, то и потребили. Тем не менее, объемы такого производства и потребления на протяжении последних 15 лет продолжает неуклонно сокращаться. С одной стороны повлияло сокращение численности населения, с другой стороны – изменилась структура потребления.</w:t>
      </w:r>
    </w:p>
    <w:p w:rsidR="003E30CA" w:rsidRPr="003124A6" w:rsidRDefault="003E30CA" w:rsidP="003E3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4A6">
        <w:rPr>
          <w:rFonts w:ascii="Times New Roman" w:eastAsia="Calibri" w:hAnsi="Times New Roman" w:cs="Times New Roman"/>
          <w:sz w:val="28"/>
          <w:szCs w:val="28"/>
        </w:rPr>
        <w:t xml:space="preserve">В сельской местности широкое распространение получило выпекание хлеба в домашних условиях, что опять-таки негативно отобразилось на объемах производства (реализации) и потребления продукции, которая изготавливается промышленным способом. </w:t>
      </w: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4A6">
        <w:rPr>
          <w:rFonts w:ascii="Times New Roman" w:eastAsia="Calibri" w:hAnsi="Times New Roman" w:cs="Times New Roman"/>
          <w:sz w:val="28"/>
          <w:szCs w:val="28"/>
        </w:rPr>
        <w:t xml:space="preserve">Сворачивание деятельности отлаженной системы оптовой торговли, перенесение розничного торгового оборота из торговых учреждений на рынки, недостаточное количество внимания уделялось проблемам изучения </w:t>
      </w:r>
      <w:r w:rsidRPr="003124A6">
        <w:rPr>
          <w:rFonts w:ascii="Times New Roman" w:eastAsia="Calibri" w:hAnsi="Times New Roman" w:cs="Times New Roman"/>
          <w:sz w:val="28"/>
          <w:szCs w:val="28"/>
        </w:rPr>
        <w:lastRenderedPageBreak/>
        <w:t>вкусов населения и сбыта продукции предприятиями хлебопекарной промышленности, отсутствие эффективных каналов распределения, необоснованная государственная политика установления цен привели к тому, что даже передовые предприятия отрасли потеряли свои позиции на рынке.</w:t>
      </w:r>
      <w:proofErr w:type="gramEnd"/>
    </w:p>
    <w:p w:rsidR="003E30CA" w:rsidRDefault="003E30CA" w:rsidP="003E30CA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CA" w:rsidRDefault="003E30CA" w:rsidP="003E30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</w:p>
    <w:p w:rsidR="003E30CA" w:rsidRDefault="003E30CA" w:rsidP="003E30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ИССЛЕДОВАНИЯ</w:t>
      </w:r>
    </w:p>
    <w:p w:rsidR="003E30CA" w:rsidRDefault="003E30CA" w:rsidP="003E30CA">
      <w:pPr>
        <w:jc w:val="center"/>
        <w:rPr>
          <w:rFonts w:ascii="Times New Roman" w:hAnsi="Times New Roman"/>
          <w:sz w:val="28"/>
          <w:szCs w:val="28"/>
        </w:rPr>
      </w:pPr>
    </w:p>
    <w:p w:rsidR="003E30CA" w:rsidRPr="00E27AF6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F6">
        <w:rPr>
          <w:rFonts w:ascii="Times New Roman" w:hAnsi="Times New Roman"/>
          <w:sz w:val="28"/>
          <w:szCs w:val="28"/>
        </w:rPr>
        <w:t>В ходе исследования была составлена анкета и опрошено 50 респондентов, которым было предложено ответить на 24 вопроса (с множественным выбором и шкал</w:t>
      </w:r>
      <w:r>
        <w:rPr>
          <w:rFonts w:ascii="Times New Roman" w:hAnsi="Times New Roman"/>
          <w:sz w:val="28"/>
          <w:szCs w:val="28"/>
        </w:rPr>
        <w:t>ами</w:t>
      </w:r>
      <w:r w:rsidRPr="00E27AF6">
        <w:rPr>
          <w:rFonts w:ascii="Times New Roman" w:hAnsi="Times New Roman"/>
          <w:sz w:val="28"/>
          <w:szCs w:val="28"/>
        </w:rPr>
        <w:t>) с целью получения информации о потенциальных клиентах, предпочтений потребителей, а также выявления проблем.  Анкета представлена в Приложении</w:t>
      </w:r>
      <w:proofErr w:type="gramStart"/>
      <w:r w:rsidRPr="00E27AF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27AF6">
        <w:rPr>
          <w:rFonts w:ascii="Times New Roman" w:hAnsi="Times New Roman"/>
          <w:sz w:val="28"/>
          <w:szCs w:val="28"/>
        </w:rPr>
        <w:t xml:space="preserve">, по полученным ответам составлена сводная таблица (Приложение Б). </w:t>
      </w:r>
    </w:p>
    <w:p w:rsidR="003E30CA" w:rsidRPr="00E27AF6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7AF6">
        <w:rPr>
          <w:rFonts w:ascii="Times New Roman" w:hAnsi="Times New Roman"/>
          <w:sz w:val="28"/>
          <w:szCs w:val="28"/>
        </w:rPr>
        <w:t xml:space="preserve">В ходе анкетирования было опрошено 25 мужчин и 25 женщин. Возрастная структура имеет следующий вид: по 14% - возрастные категории до 18 лет и свыше 46 лет; по 20% - группа </w:t>
      </w:r>
      <w:r w:rsidRPr="00E27AF6">
        <w:rPr>
          <w:rFonts w:ascii="Times New Roman" w:hAnsi="Times New Roman"/>
          <w:bCs/>
          <w:iCs/>
          <w:sz w:val="28"/>
          <w:szCs w:val="28"/>
        </w:rPr>
        <w:t>19-25 лет и 39-46 лет; по 16% - группы 26-32 лет и 33-39 лет.</w:t>
      </w: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F6">
        <w:rPr>
          <w:rFonts w:ascii="Times New Roman" w:hAnsi="Times New Roman"/>
          <w:sz w:val="28"/>
          <w:szCs w:val="28"/>
        </w:rPr>
        <w:t>По роду деятельности основную массу составили работающие − 52%, и студенты − 30%.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 xml:space="preserve">Также в ходе исследования для обоснования репрезентативности выборки по вопросам, используемым для выявления проблем, было рассчитано коэффициент </w:t>
      </w:r>
      <w:proofErr w:type="spellStart"/>
      <w:r w:rsidRPr="00383D82">
        <w:rPr>
          <w:rFonts w:ascii="Times New Roman" w:hAnsi="Times New Roman"/>
          <w:sz w:val="28"/>
          <w:szCs w:val="28"/>
        </w:rPr>
        <w:t>конкордации</w:t>
      </w:r>
      <w:proofErr w:type="spellEnd"/>
      <w:r w:rsidRPr="00383D82">
        <w:rPr>
          <w:rFonts w:ascii="Times New Roman" w:hAnsi="Times New Roman"/>
          <w:sz w:val="28"/>
          <w:szCs w:val="28"/>
        </w:rPr>
        <w:t xml:space="preserve"> (</w:t>
      </w:r>
      <w:r w:rsidRPr="00383D82">
        <w:rPr>
          <w:rFonts w:ascii="Times New Roman" w:hAnsi="Times New Roman"/>
          <w:sz w:val="28"/>
          <w:szCs w:val="28"/>
          <w:lang w:val="en-US"/>
        </w:rPr>
        <w:t>W</w:t>
      </w:r>
      <w:r w:rsidRPr="00383D82">
        <w:rPr>
          <w:rFonts w:ascii="Times New Roman" w:hAnsi="Times New Roman"/>
          <w:sz w:val="28"/>
          <w:szCs w:val="28"/>
        </w:rPr>
        <w:t>), который отражает степень согласованности мнений респондентов.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3D82">
        <w:rPr>
          <w:rFonts w:ascii="Times New Roman" w:hAnsi="Times New Roman"/>
          <w:sz w:val="28"/>
          <w:szCs w:val="28"/>
        </w:rPr>
        <w:t>W= 12* ∑(</w:t>
      </w:r>
      <w:r w:rsidRPr="00383D82">
        <w:rPr>
          <w:rFonts w:ascii="Times New Roman" w:hAnsi="Times New Roman"/>
          <w:sz w:val="28"/>
          <w:szCs w:val="28"/>
          <w:lang w:val="en-US"/>
        </w:rPr>
        <w:t>r</w:t>
      </w:r>
      <w:r w:rsidRPr="00383D82">
        <w:rPr>
          <w:rFonts w:ascii="Times New Roman" w:hAnsi="Times New Roman"/>
          <w:sz w:val="28"/>
          <w:szCs w:val="28"/>
          <w:vertAlign w:val="superscript"/>
        </w:rPr>
        <w:t>2</w:t>
      </w:r>
      <w:proofErr w:type="spellStart"/>
      <w:r w:rsidRPr="00383D8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83D82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383D82">
        <w:rPr>
          <w:rFonts w:ascii="Times New Roman" w:hAnsi="Times New Roman"/>
          <w:sz w:val="28"/>
          <w:szCs w:val="28"/>
        </w:rPr>
        <w:t>d</w:t>
      </w:r>
      <w:r w:rsidRPr="00383D82">
        <w:rPr>
          <w:rFonts w:ascii="Times New Roman" w:hAnsi="Times New Roman"/>
          <w:sz w:val="28"/>
          <w:szCs w:val="28"/>
          <w:vertAlign w:val="superscript"/>
        </w:rPr>
        <w:t>2</w:t>
      </w:r>
      <w:r w:rsidRPr="00383D82">
        <w:rPr>
          <w:rFonts w:ascii="Times New Roman" w:hAnsi="Times New Roman"/>
          <w:sz w:val="28"/>
          <w:szCs w:val="28"/>
          <w:vertAlign w:val="subscript"/>
        </w:rPr>
        <w:t>j</w:t>
      </w:r>
      <w:r w:rsidRPr="00383D82">
        <w:rPr>
          <w:rFonts w:ascii="Times New Roman" w:hAnsi="Times New Roman"/>
          <w:sz w:val="28"/>
          <w:szCs w:val="28"/>
        </w:rPr>
        <w:t xml:space="preserve">  / m</w:t>
      </w:r>
      <w:r w:rsidRPr="00383D8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proofErr w:type="gramStart"/>
      <w:r w:rsidRPr="00383D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83D82">
        <w:rPr>
          <w:rFonts w:ascii="Times New Roman" w:hAnsi="Times New Roman"/>
          <w:sz w:val="28"/>
          <w:szCs w:val="28"/>
        </w:rPr>
        <w:t>n</w:t>
      </w:r>
      <w:r w:rsidRPr="00383D8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83D8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83D82">
        <w:rPr>
          <w:rFonts w:ascii="Times New Roman" w:hAnsi="Times New Roman"/>
          <w:sz w:val="28"/>
          <w:szCs w:val="28"/>
        </w:rPr>
        <w:t>n</w:t>
      </w:r>
      <w:proofErr w:type="spellEnd"/>
      <w:r w:rsidRPr="00383D82">
        <w:rPr>
          <w:rFonts w:ascii="Times New Roman" w:hAnsi="Times New Roman"/>
          <w:sz w:val="28"/>
          <w:szCs w:val="28"/>
        </w:rPr>
        <w:t>))</w:t>
      </w:r>
      <w:r w:rsidRPr="00383D8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3D82">
        <w:rPr>
          <w:rFonts w:ascii="Times New Roman" w:hAnsi="Times New Roman"/>
          <w:sz w:val="28"/>
          <w:szCs w:val="28"/>
        </w:rPr>
        <w:t>где</w:t>
      </w:r>
      <w:r w:rsidRPr="00383D82">
        <w:rPr>
          <w:rFonts w:ascii="Times New Roman" w:hAnsi="Times New Roman"/>
          <w:sz w:val="28"/>
          <w:szCs w:val="28"/>
          <w:lang w:val="en-US"/>
        </w:rPr>
        <w:t>: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83D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3D82">
        <w:rPr>
          <w:rFonts w:ascii="Times New Roman" w:hAnsi="Times New Roman"/>
          <w:sz w:val="28"/>
          <w:szCs w:val="28"/>
          <w:lang w:val="en-US"/>
        </w:rPr>
        <w:t>r</w:t>
      </w:r>
      <w:r w:rsidRPr="00383D8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83D8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83D82">
        <w:rPr>
          <w:rFonts w:ascii="Times New Roman" w:hAnsi="Times New Roman"/>
          <w:sz w:val="28"/>
          <w:szCs w:val="28"/>
        </w:rPr>
        <w:t>− оценка вопроса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383D82">
        <w:rPr>
          <w:rFonts w:ascii="Times New Roman" w:hAnsi="Times New Roman"/>
          <w:sz w:val="28"/>
          <w:szCs w:val="28"/>
        </w:rPr>
        <w:t>d</w:t>
      </w:r>
      <w:r w:rsidRPr="00383D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383D8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83D82">
        <w:rPr>
          <w:rFonts w:ascii="Times New Roman" w:hAnsi="Times New Roman"/>
          <w:sz w:val="28"/>
          <w:szCs w:val="28"/>
        </w:rPr>
        <w:t xml:space="preserve">− количество респондентов, отметивших оценку </w:t>
      </w:r>
      <w:proofErr w:type="spellStart"/>
      <w:r w:rsidRPr="00383D82">
        <w:rPr>
          <w:rFonts w:ascii="Times New Roman" w:hAnsi="Times New Roman"/>
          <w:sz w:val="28"/>
          <w:szCs w:val="28"/>
          <w:lang w:val="en-US"/>
        </w:rPr>
        <w:t>r</w:t>
      </w:r>
      <w:r w:rsidRPr="00383D8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383D82">
        <w:rPr>
          <w:rFonts w:ascii="Times New Roman" w:hAnsi="Times New Roman"/>
          <w:sz w:val="28"/>
          <w:szCs w:val="28"/>
        </w:rPr>
        <w:t>m</w:t>
      </w:r>
      <w:proofErr w:type="spellEnd"/>
      <w:r w:rsidRPr="00383D82">
        <w:rPr>
          <w:rFonts w:ascii="Times New Roman" w:hAnsi="Times New Roman"/>
          <w:sz w:val="28"/>
          <w:szCs w:val="28"/>
        </w:rPr>
        <w:t xml:space="preserve"> − количество вопросов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82">
        <w:rPr>
          <w:rFonts w:ascii="Times New Roman" w:hAnsi="Times New Roman"/>
          <w:sz w:val="28"/>
          <w:szCs w:val="28"/>
        </w:rPr>
        <w:lastRenderedPageBreak/>
        <w:t>n</w:t>
      </w:r>
      <w:proofErr w:type="spellEnd"/>
      <w:r w:rsidRPr="00383D82">
        <w:rPr>
          <w:rFonts w:ascii="Times New Roman" w:hAnsi="Times New Roman"/>
          <w:sz w:val="28"/>
          <w:szCs w:val="28"/>
        </w:rPr>
        <w:t xml:space="preserve"> − количество респондентов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>Коэффициент может принимать значения от 0 до 1, чем ближе к 1, тем выше согласованность между респондентами.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>В ходе анализа следует выделить результаты по следующим вопросам.</w:t>
      </w: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>Вопрос о периоде покупки продукции торговой марки (вопрос № 7) даёт представление о том, как давно покупатель знаком с товаром (Рис. 2.1).</w:t>
      </w: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CA" w:rsidRDefault="003E30CA" w:rsidP="003E30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22833" cy="2503714"/>
            <wp:effectExtent l="19050" t="0" r="11067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30CA" w:rsidRDefault="003E30CA" w:rsidP="003E30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>Рис. 2.1. Длительность периода покупки продукции марки "</w:t>
      </w:r>
      <w:r w:rsidR="00571081">
        <w:rPr>
          <w:rFonts w:ascii="Times New Roman" w:hAnsi="Times New Roman"/>
          <w:sz w:val="28"/>
          <w:szCs w:val="28"/>
        </w:rPr>
        <w:t>***</w:t>
      </w:r>
      <w:r w:rsidRPr="00383D82">
        <w:rPr>
          <w:rFonts w:ascii="Times New Roman" w:hAnsi="Times New Roman"/>
          <w:sz w:val="28"/>
          <w:szCs w:val="28"/>
        </w:rPr>
        <w:t>"</w:t>
      </w:r>
    </w:p>
    <w:p w:rsidR="00571081" w:rsidRPr="00383D82" w:rsidRDefault="00571081" w:rsidP="003E30CA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081" w:rsidRDefault="00571081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CA" w:rsidRPr="00383D82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82">
        <w:rPr>
          <w:rFonts w:ascii="Times New Roman" w:hAnsi="Times New Roman"/>
          <w:sz w:val="28"/>
          <w:szCs w:val="28"/>
        </w:rPr>
        <w:t>Анализ анкет также позволил выявить следующие факты.</w:t>
      </w:r>
      <w:r w:rsidR="00571081">
        <w:rPr>
          <w:rFonts w:ascii="Times New Roman" w:hAnsi="Times New Roman"/>
          <w:sz w:val="28"/>
          <w:szCs w:val="28"/>
        </w:rPr>
        <w:t xml:space="preserve"> </w:t>
      </w:r>
      <w:r w:rsidRPr="00383D82">
        <w:rPr>
          <w:rFonts w:ascii="Times New Roman" w:hAnsi="Times New Roman"/>
          <w:sz w:val="28"/>
          <w:szCs w:val="28"/>
        </w:rPr>
        <w:t xml:space="preserve">Главным конкурентом, в подтверждение официальной статистики, является </w:t>
      </w:r>
      <w:r w:rsidR="00571081">
        <w:rPr>
          <w:rFonts w:ascii="Times New Roman" w:hAnsi="Times New Roman"/>
          <w:sz w:val="28"/>
          <w:szCs w:val="28"/>
        </w:rPr>
        <w:t>***</w:t>
      </w:r>
      <w:r w:rsidRPr="00383D82">
        <w:rPr>
          <w:rFonts w:ascii="Times New Roman" w:hAnsi="Times New Roman"/>
          <w:sz w:val="28"/>
          <w:szCs w:val="28"/>
        </w:rPr>
        <w:t xml:space="preserve"> (74% потребителя покупают его продукцию). Следует обратить внимание, что весомую долю среди конкурентов занял супермаркет «</w:t>
      </w:r>
      <w:r w:rsidR="00571081">
        <w:rPr>
          <w:rFonts w:ascii="Times New Roman" w:hAnsi="Times New Roman"/>
          <w:sz w:val="28"/>
          <w:szCs w:val="28"/>
        </w:rPr>
        <w:t>***</w:t>
      </w:r>
      <w:r w:rsidRPr="00383D82">
        <w:rPr>
          <w:rFonts w:ascii="Times New Roman" w:hAnsi="Times New Roman"/>
          <w:sz w:val="28"/>
          <w:szCs w:val="28"/>
        </w:rPr>
        <w:t>» - 36% .</w:t>
      </w: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77957">
        <w:rPr>
          <w:rFonts w:ascii="Times New Roman" w:hAnsi="Times New Roman"/>
          <w:sz w:val="28"/>
          <w:szCs w:val="28"/>
        </w:rPr>
        <w:t>Популярностью у потребителей в наибольшей степени пользуется хлебобулочные изделия, изделия из слоёного теста</w:t>
      </w:r>
      <w:r w:rsidRPr="00977957">
        <w:rPr>
          <w:rFonts w:ascii="Times New Roman" w:hAnsi="Times New Roman"/>
          <w:sz w:val="28"/>
          <w:szCs w:val="28"/>
        </w:rPr>
        <w:br/>
      </w:r>
      <w:r w:rsidRPr="00977957">
        <w:rPr>
          <w:rFonts w:ascii="Times New Roman" w:hAnsi="Times New Roman"/>
          <w:iCs/>
          <w:sz w:val="28"/>
          <w:szCs w:val="28"/>
        </w:rPr>
        <w:t>и к</w:t>
      </w:r>
      <w:r w:rsidRPr="00977957">
        <w:rPr>
          <w:rFonts w:ascii="Times New Roman" w:hAnsi="Times New Roman"/>
          <w:sz w:val="28"/>
          <w:szCs w:val="28"/>
        </w:rPr>
        <w:t>ондитерские изделия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ассортиментом покупатели довольны. </w:t>
      </w:r>
      <w:r w:rsidRPr="00977957">
        <w:rPr>
          <w:rFonts w:ascii="Times New Roman" w:hAnsi="Times New Roman"/>
          <w:sz w:val="28"/>
          <w:szCs w:val="28"/>
        </w:rPr>
        <w:t xml:space="preserve"> Потребителей у</w:t>
      </w:r>
      <w:r w:rsidRPr="00977957">
        <w:rPr>
          <w:rFonts w:ascii="Times New Roman" w:hAnsi="Times New Roman"/>
          <w:bCs/>
          <w:iCs/>
          <w:sz w:val="28"/>
          <w:szCs w:val="28"/>
        </w:rPr>
        <w:t>страивает упаковка и способ подачи товара (76% опрошенных респондентов).</w:t>
      </w:r>
      <w:r>
        <w:rPr>
          <w:rFonts w:ascii="Times New Roman" w:hAnsi="Times New Roman"/>
          <w:bCs/>
          <w:iCs/>
          <w:sz w:val="28"/>
          <w:szCs w:val="28"/>
        </w:rPr>
        <w:t xml:space="preserve"> 76% респондентов довольны уровнем обслуживания в фирменных магазинах производителя и считают его средним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или выше среднего, что в целом позитивно сказывается на имидже  производителя. 76% потребителей довольны ценой на товар, считая ее средней.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тоже время 40% опрошенных считают, что цена соответствует качеству продукции, а 46%, что соответствует частично, и только 6% считают, что соотношение цена-качество не выдержано. 40% потребителей ответили, что наша продукция ничем не отличается от аналогов, а 18% - что наша продукция по качеству хуже аналогичной, 34% - не смогли сравнить товары. </w:t>
      </w:r>
      <w:proofErr w:type="gramEnd"/>
    </w:p>
    <w:p w:rsidR="003E30CA" w:rsidRPr="006E1328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выше сказанного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можно сделать вывод, что такие важные составляющие маркетинговой политики как </w:t>
      </w:r>
      <w:r w:rsidRPr="006E1328">
        <w:rPr>
          <w:rFonts w:ascii="Times New Roman" w:hAnsi="Times New Roman"/>
          <w:bCs/>
          <w:iCs/>
          <w:sz w:val="28"/>
          <w:szCs w:val="28"/>
          <w:lang w:val="en-US"/>
        </w:rPr>
        <w:t>price</w:t>
      </w:r>
      <w:r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6E1328">
        <w:rPr>
          <w:rFonts w:ascii="Times New Roman" w:hAnsi="Times New Roman"/>
          <w:bCs/>
          <w:iCs/>
          <w:sz w:val="28"/>
          <w:szCs w:val="28"/>
          <w:lang w:val="en-US"/>
        </w:rPr>
        <w:t xml:space="preserve"> product</w:t>
      </w:r>
      <w:r>
        <w:rPr>
          <w:rFonts w:ascii="Times New Roman" w:hAnsi="Times New Roman"/>
          <w:bCs/>
          <w:iCs/>
          <w:sz w:val="28"/>
          <w:szCs w:val="28"/>
        </w:rPr>
        <w:t xml:space="preserve"> разработаны в достаточной мере и в целом не требуют никаких изменений.</w:t>
      </w:r>
    </w:p>
    <w:p w:rsidR="003E30CA" w:rsidRDefault="003E30CA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время как такие элементы как </w:t>
      </w:r>
      <w:proofErr w:type="spellStart"/>
      <w:r>
        <w:rPr>
          <w:rFonts w:ascii="Times New Roman" w:hAnsi="Times New Roman"/>
          <w:sz w:val="28"/>
          <w:szCs w:val="28"/>
        </w:rPr>
        <w:t>promotion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place</w:t>
      </w:r>
      <w:proofErr w:type="spellEnd"/>
      <w:r>
        <w:rPr>
          <w:rFonts w:ascii="Times New Roman" w:hAnsi="Times New Roman"/>
          <w:sz w:val="28"/>
          <w:szCs w:val="28"/>
        </w:rPr>
        <w:t xml:space="preserve"> – являются слабыми звеньями в маркетинговой стратегии производителя и требуют корректировки.</w:t>
      </w:r>
    </w:p>
    <w:p w:rsidR="00571081" w:rsidRDefault="00571081" w:rsidP="003E30CA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081" w:rsidRDefault="00571081" w:rsidP="003E3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081" w:rsidRDefault="00571081" w:rsidP="005710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</w:t>
      </w:r>
    </w:p>
    <w:p w:rsidR="00571081" w:rsidRDefault="00571081" w:rsidP="005710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УСОВЕРШЕНСТВОВАНИЮ МАРКЕТИНГОВОЙ ПОЛИТИКИ</w:t>
      </w:r>
    </w:p>
    <w:p w:rsidR="00571081" w:rsidRDefault="00571081" w:rsidP="005710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081" w:rsidRDefault="00571081" w:rsidP="005710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92F">
        <w:rPr>
          <w:rFonts w:ascii="Times New Roman" w:eastAsia="Calibri" w:hAnsi="Times New Roman" w:cs="Times New Roman"/>
          <w:sz w:val="28"/>
          <w:szCs w:val="28"/>
        </w:rPr>
        <w:t>3.1. Сбытовая политика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081" w:rsidRDefault="00571081" w:rsidP="005710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исследования видно, что торговая марка занимает весомое место на рынке, потребители знакомы с ней в достаточной мере, однако отрыв от основных конкурентов незначителен и поэтому необходимо проводить более активную сбытовую политику. </w:t>
      </w:r>
      <w:r w:rsidRPr="00D8492F">
        <w:rPr>
          <w:rFonts w:ascii="Times New Roman" w:eastAsia="Calibri" w:hAnsi="Times New Roman" w:cs="Times New Roman"/>
          <w:sz w:val="28"/>
          <w:szCs w:val="28"/>
        </w:rPr>
        <w:t>Сбыт - это деят</w:t>
      </w:r>
      <w:r w:rsidRPr="00537A8E">
        <w:rPr>
          <w:rFonts w:ascii="Times New Roman" w:eastAsia="Calibri" w:hAnsi="Times New Roman" w:cs="Times New Roman"/>
          <w:sz w:val="28"/>
          <w:szCs w:val="28"/>
        </w:rPr>
        <w:t xml:space="preserve">ельность по организации продвижения товара от производителя к потребителям. </w:t>
      </w:r>
      <w:r w:rsidRPr="00413D06">
        <w:rPr>
          <w:rFonts w:ascii="Times New Roman" w:eastAsia="Calibri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***</w:t>
      </w:r>
      <w:r w:rsidRPr="00413D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 w:rsidRPr="00413D06">
        <w:rPr>
          <w:rFonts w:ascii="Times New Roman" w:eastAsia="Calibri" w:hAnsi="Times New Roman" w:cs="Times New Roman"/>
          <w:sz w:val="28"/>
          <w:szCs w:val="28"/>
        </w:rPr>
        <w:t>»</w:t>
      </w:r>
      <w:r w:rsidRPr="00537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2BF">
        <w:rPr>
          <w:rFonts w:ascii="Times New Roman" w:eastAsia="Calibri" w:hAnsi="Times New Roman" w:cs="Times New Roman"/>
          <w:sz w:val="28"/>
          <w:szCs w:val="28"/>
        </w:rPr>
        <w:t xml:space="preserve">является активным игроком на рынке с 1995 года, то можно предположить, что уже имеются налаженные каналы </w:t>
      </w:r>
      <w:r w:rsidRPr="007242BF">
        <w:rPr>
          <w:rFonts w:ascii="Times New Roman" w:eastAsia="Calibri" w:hAnsi="Times New Roman" w:cs="Times New Roman"/>
          <w:sz w:val="28"/>
          <w:szCs w:val="28"/>
        </w:rPr>
        <w:lastRenderedPageBreak/>
        <w:t>сбыта. Однако</w:t>
      </w:r>
      <w:proofErr w:type="gramStart"/>
      <w:r w:rsidRPr="007242B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42BF">
        <w:rPr>
          <w:rFonts w:ascii="Times New Roman" w:eastAsia="Calibri" w:hAnsi="Times New Roman" w:cs="Times New Roman"/>
          <w:sz w:val="28"/>
          <w:szCs w:val="28"/>
        </w:rPr>
        <w:t xml:space="preserve"> существует ряд проблем неравномерного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распределения точек сбыта.</w:t>
      </w:r>
    </w:p>
    <w:p w:rsidR="00571081" w:rsidRPr="00413D06" w:rsidRDefault="00571081" w:rsidP="005710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D06">
        <w:rPr>
          <w:rFonts w:ascii="Times New Roman" w:eastAsia="Calibri" w:hAnsi="Times New Roman" w:cs="Times New Roman"/>
          <w:sz w:val="28"/>
          <w:szCs w:val="28"/>
        </w:rPr>
        <w:t xml:space="preserve">Так, например, с нашей точки зрения наиболее </w:t>
      </w:r>
      <w:proofErr w:type="spellStart"/>
      <w:r w:rsidRPr="00413D06">
        <w:rPr>
          <w:rFonts w:ascii="Times New Roman" w:eastAsia="Calibri" w:hAnsi="Times New Roman" w:cs="Times New Roman"/>
          <w:sz w:val="28"/>
          <w:szCs w:val="28"/>
        </w:rPr>
        <w:t>эффетивным</w:t>
      </w:r>
      <w:proofErr w:type="spellEnd"/>
      <w:r w:rsidRPr="00413D06">
        <w:rPr>
          <w:rFonts w:ascii="Times New Roman" w:eastAsia="Calibri" w:hAnsi="Times New Roman" w:cs="Times New Roman"/>
          <w:sz w:val="28"/>
          <w:szCs w:val="28"/>
        </w:rPr>
        <w:t xml:space="preserve"> каналом сбыта будет канал нулевого уровня, который включает производителя и потребителя, т.е. это способ прямого сбыта, без посредников. Этот вид сбыта будет обеспечивать не только продажи, но и рекламу.</w:t>
      </w:r>
    </w:p>
    <w:p w:rsidR="00571081" w:rsidRDefault="00571081" w:rsidP="005710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D06">
        <w:rPr>
          <w:rFonts w:ascii="Times New Roman" w:eastAsia="Calibri" w:hAnsi="Times New Roman" w:cs="Times New Roman"/>
          <w:sz w:val="28"/>
          <w:szCs w:val="28"/>
        </w:rPr>
        <w:t>Проведенное исследование позволило определить, что существует ряд проблем именно с местом расположения точек сбыта. Сегментация рынка не проводилась, так как в данном случае она не уместна. Хлеб – один из тех немногих продуктов, потребление которых не зависит от пола, возраста, семейного положения, религиозной принадлежности, и в малой степени зависит от дохода или социального статуса. Поэтому, хлеб потребляют все слои населения, за исключением индивидов, у которых есть субъективные причины для отказа от его потребления. Следовательно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13D06">
        <w:rPr>
          <w:rFonts w:ascii="Times New Roman" w:eastAsia="Calibri" w:hAnsi="Times New Roman" w:cs="Times New Roman"/>
          <w:sz w:val="28"/>
          <w:szCs w:val="28"/>
        </w:rPr>
        <w:t xml:space="preserve"> целевой сегмент рынка не был выделен. Именно этот факт не учитывает производитель. Так, основываясь на собственном опыте, можно утверждать, что такой сегмент как учащиеся охвачен не полностью, ведь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студгородков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фирменных магазинов практически равно 0. Также их мало возле учебных заведений, либо их расположение неудачно. Еще одним решением может послужить размещение точек сбыта продукции непосредственно внутри учебных заведений, и внутри зданий с большим количеством офисов.</w:t>
      </w:r>
    </w:p>
    <w:p w:rsidR="00571081" w:rsidRDefault="00571081" w:rsidP="00571081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1081" w:rsidSect="002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740"/>
    <w:multiLevelType w:val="multilevel"/>
    <w:tmpl w:val="15362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55B1A"/>
    <w:multiLevelType w:val="hybridMultilevel"/>
    <w:tmpl w:val="D2A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30CA"/>
    <w:rsid w:val="00006E90"/>
    <w:rsid w:val="002502F5"/>
    <w:rsid w:val="002751E6"/>
    <w:rsid w:val="0031290E"/>
    <w:rsid w:val="003E30CA"/>
    <w:rsid w:val="004F7AE1"/>
    <w:rsid w:val="00571081"/>
    <w:rsid w:val="005C2561"/>
    <w:rsid w:val="005C4788"/>
    <w:rsid w:val="009210E5"/>
    <w:rsid w:val="00B80CE7"/>
    <w:rsid w:val="00C6420E"/>
    <w:rsid w:val="00C66ACB"/>
    <w:rsid w:val="00C6775F"/>
    <w:rsid w:val="00C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4587332053742832"/>
          <c:y val="6.9182389937107028E-2"/>
          <c:w val="0.75815738963531654"/>
          <c:h val="0.72955974842767291"/>
        </c:manualLayout>
      </c:layout>
      <c:areaChart>
        <c:grouping val="standard"/>
        <c:ser>
          <c:idx val="1"/>
          <c:order val="0"/>
          <c:dLbls>
            <c:dLbl>
              <c:idx val="0"/>
              <c:layout>
                <c:manualLayout>
                  <c:x val="4.2970490943137908E-2"/>
                  <c:y val="-8.19367502298294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</a:p>
                </c:rich>
              </c:tx>
            </c:dLbl>
            <c:dLbl>
              <c:idx val="1"/>
              <c:layout>
                <c:manualLayout>
                  <c:x val="6.9820793301636607E-3"/>
                  <c:y val="-7.87920961417794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</a:p>
                </c:rich>
              </c:tx>
            </c:dLbl>
            <c:dLbl>
              <c:idx val="2"/>
              <c:layout>
                <c:manualLayout>
                  <c:x val="3.6230278455609776E-3"/>
                  <c:y val="-0.104787954413573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</a:p>
                </c:rich>
              </c:tx>
            </c:dLbl>
            <c:dLbl>
              <c:idx val="3"/>
              <c:layout>
                <c:manualLayout>
                  <c:x val="-9.3327542088722237E-3"/>
                  <c:y val="-0.100315754437271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</a:p>
                </c:rich>
              </c:tx>
            </c:dLbl>
            <c:dLbl>
              <c:idx val="4"/>
              <c:layout>
                <c:manualLayout>
                  <c:x val="-4.4099355969450547E-2"/>
                  <c:y val="-0.308002585486258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82%</a:t>
                    </a:r>
                  </a:p>
                </c:rich>
              </c:tx>
            </c:dLbl>
            <c:showVal val="1"/>
          </c:dLbls>
          <c:cat>
            <c:strRef>
              <c:f>Конкордация!$A$42:$A$46</c:f>
              <c:strCache>
                <c:ptCount val="5"/>
                <c:pt idx="0">
                  <c:v>До 1 </c:v>
                </c:pt>
                <c:pt idx="1">
                  <c:v>От 1 до 3 </c:v>
                </c:pt>
                <c:pt idx="2">
                  <c:v>От 3 до 6 </c:v>
                </c:pt>
                <c:pt idx="3">
                  <c:v>От 6 до 12    </c:v>
                </c:pt>
                <c:pt idx="4">
                  <c:v>Более 12 </c:v>
                </c:pt>
              </c:strCache>
            </c:strRef>
          </c:cat>
          <c:val>
            <c:numRef>
              <c:f>Конкордация!$C$42:$C$46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  <c:pt idx="4">
                  <c:v>82</c:v>
                </c:pt>
              </c:numCache>
            </c:numRef>
          </c:val>
        </c:ser>
        <c:dLbls>
          <c:showVal val="1"/>
        </c:dLbls>
        <c:axId val="129290624"/>
        <c:axId val="129339392"/>
      </c:areaChart>
      <c:catAx>
        <c:axId val="129290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Месяцы</a:t>
                </a:r>
              </a:p>
            </c:rich>
          </c:tx>
          <c:layout>
            <c:manualLayout>
              <c:xMode val="edge"/>
              <c:yMode val="edge"/>
              <c:x val="0.46833007145783107"/>
              <c:y val="0.8930816297805045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9339392"/>
        <c:crosses val="autoZero"/>
        <c:lblAlgn val="ctr"/>
        <c:lblOffset val="100"/>
        <c:tickLblSkip val="1"/>
        <c:tickMarkSkip val="1"/>
      </c:catAx>
      <c:valAx>
        <c:axId val="1293393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Респонденты, %</a:t>
                </a:r>
              </a:p>
            </c:rich>
          </c:tx>
          <c:layout>
            <c:manualLayout>
              <c:xMode val="edge"/>
              <c:yMode val="edge"/>
              <c:x val="2.1113285694779507E-2"/>
              <c:y val="0.2578616789620544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9290624"/>
        <c:crosses val="autoZero"/>
        <c:crossBetween val="midCat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2014-11-17T19:35:00Z</dcterms:created>
  <dcterms:modified xsi:type="dcterms:W3CDTF">2014-11-18T19:46:00Z</dcterms:modified>
</cp:coreProperties>
</file>