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74" w:rsidRPr="00BE0174" w:rsidRDefault="00BE0174" w:rsidP="00BE0174">
      <w:pPr>
        <w:spacing w:before="64" w:after="120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1A3038"/>
          <w:kern w:val="36"/>
          <w:sz w:val="19"/>
          <w:szCs w:val="19"/>
          <w:lang w:eastAsia="ru-RU"/>
        </w:rPr>
      </w:pPr>
      <w:proofErr w:type="gramStart"/>
      <w:r w:rsidRPr="00BE0174">
        <w:rPr>
          <w:rFonts w:ascii="Arial" w:eastAsia="Times New Roman" w:hAnsi="Arial" w:cs="Arial"/>
          <w:b/>
          <w:bCs/>
          <w:color w:val="1A3038"/>
          <w:kern w:val="36"/>
          <w:sz w:val="19"/>
          <w:szCs w:val="19"/>
          <w:lang w:eastAsia="ru-RU"/>
        </w:rPr>
        <w:t>Финансовый</w:t>
      </w:r>
      <w:proofErr w:type="gramEnd"/>
      <w:r w:rsidRPr="00BE0174">
        <w:rPr>
          <w:rFonts w:ascii="Arial" w:eastAsia="Times New Roman" w:hAnsi="Arial" w:cs="Arial"/>
          <w:b/>
          <w:bCs/>
          <w:color w:val="1A3038"/>
          <w:kern w:val="36"/>
          <w:sz w:val="19"/>
          <w:szCs w:val="19"/>
          <w:lang w:eastAsia="ru-RU"/>
        </w:rPr>
        <w:t xml:space="preserve"> </w:t>
      </w:r>
      <w:proofErr w:type="spellStart"/>
      <w:r w:rsidRPr="00BE0174">
        <w:rPr>
          <w:rFonts w:ascii="Arial" w:eastAsia="Times New Roman" w:hAnsi="Arial" w:cs="Arial"/>
          <w:b/>
          <w:bCs/>
          <w:color w:val="1A3038"/>
          <w:kern w:val="36"/>
          <w:sz w:val="19"/>
          <w:szCs w:val="19"/>
          <w:lang w:eastAsia="ru-RU"/>
        </w:rPr>
        <w:t>ковенант</w:t>
      </w:r>
      <w:proofErr w:type="spellEnd"/>
      <w:r w:rsidRPr="00BE0174">
        <w:rPr>
          <w:rFonts w:ascii="Arial" w:eastAsia="Times New Roman" w:hAnsi="Arial" w:cs="Arial"/>
          <w:b/>
          <w:bCs/>
          <w:color w:val="1A3038"/>
          <w:kern w:val="36"/>
          <w:sz w:val="19"/>
          <w:szCs w:val="19"/>
          <w:lang w:eastAsia="ru-RU"/>
        </w:rPr>
        <w:t xml:space="preserve"> - определение и применение</w:t>
      </w:r>
    </w:p>
    <w:p w:rsidR="00BE0174" w:rsidRDefault="00BE0174" w:rsidP="00BE0174">
      <w:pPr>
        <w:spacing w:after="0" w:line="160" w:lineRule="atLeast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</w:p>
    <w:p w:rsidR="00BE0174" w:rsidRDefault="00BE0174" w:rsidP="00BE0174">
      <w:pPr>
        <w:spacing w:after="0" w:line="160" w:lineRule="atLeast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Залоги, гарантии, поручительства, страхование – не единственные способы, с помощью которых потенциальный заемщик может расположить к себе кредитора. Еще одним инструментом, дающим банкам дополнительную уверенность в возврате выданных ссуд, является</w:t>
      </w:r>
      <w:r w:rsidRPr="00BE0174">
        <w:rPr>
          <w:rFonts w:ascii="Arial" w:eastAsia="Times New Roman" w:hAnsi="Arial" w:cs="Arial"/>
          <w:color w:val="1A3038"/>
          <w:sz w:val="11"/>
          <w:lang w:eastAsia="ru-RU"/>
        </w:rPr>
        <w:t> </w:t>
      </w:r>
      <w:proofErr w:type="gramStart"/>
      <w:r w:rsidRPr="00BE0174">
        <w:rPr>
          <w:rFonts w:ascii="Arial" w:eastAsia="Times New Roman" w:hAnsi="Arial" w:cs="Arial"/>
          <w:b/>
          <w:bCs/>
          <w:color w:val="1A3038"/>
          <w:sz w:val="11"/>
          <w:szCs w:val="11"/>
          <w:bdr w:val="none" w:sz="0" w:space="0" w:color="auto" w:frame="1"/>
          <w:lang w:eastAsia="ru-RU"/>
        </w:rPr>
        <w:t>финансовый</w:t>
      </w:r>
      <w:proofErr w:type="gramEnd"/>
      <w:r w:rsidRPr="00BE0174">
        <w:rPr>
          <w:rFonts w:ascii="Arial" w:eastAsia="Times New Roman" w:hAnsi="Arial" w:cs="Arial"/>
          <w:b/>
          <w:bCs/>
          <w:color w:val="1A3038"/>
          <w:sz w:val="11"/>
          <w:szCs w:val="11"/>
          <w:bdr w:val="none" w:sz="0" w:space="0" w:color="auto" w:frame="1"/>
          <w:lang w:eastAsia="ru-RU"/>
        </w:rPr>
        <w:t xml:space="preserve"> </w:t>
      </w:r>
      <w:proofErr w:type="spellStart"/>
      <w:r w:rsidRPr="00BE0174">
        <w:rPr>
          <w:rFonts w:ascii="Arial" w:eastAsia="Times New Roman" w:hAnsi="Arial" w:cs="Arial"/>
          <w:b/>
          <w:bCs/>
          <w:color w:val="1A3038"/>
          <w:sz w:val="11"/>
          <w:szCs w:val="11"/>
          <w:bdr w:val="none" w:sz="0" w:space="0" w:color="auto" w:frame="1"/>
          <w:lang w:eastAsia="ru-RU"/>
        </w:rPr>
        <w:t>ковенант</w:t>
      </w:r>
      <w:proofErr w:type="spellEnd"/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.</w:t>
      </w:r>
      <w:r w:rsidRPr="00BE0174">
        <w:rPr>
          <w:rFonts w:ascii="Arial" w:eastAsia="Times New Roman" w:hAnsi="Arial" w:cs="Arial"/>
          <w:color w:val="1A3038"/>
          <w:sz w:val="11"/>
          <w:lang w:eastAsia="ru-RU"/>
        </w:rPr>
        <w:t> </w:t>
      </w:r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br/>
      </w:r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br/>
        <w:t xml:space="preserve">Согласно юридической кредитной документации, </w:t>
      </w:r>
      <w:proofErr w:type="spellStart"/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ковенант</w:t>
      </w:r>
      <w:proofErr w:type="spellEnd"/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 представляет собой договорное обязательство заемщика кредитору, которое содержит перечень определенных действий, которые заемщик обязуется выполнять или воздержаться от их выполнения на протяжении действия кредитного договора. При нарушении положений </w:t>
      </w:r>
      <w:proofErr w:type="spellStart"/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ковенанта</w:t>
      </w:r>
      <w:proofErr w:type="spellEnd"/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, т.е. при их невыполнении или отказа от выполнения, кредитор вправе объявить заемщику дефолт. Иными словами, банк может потребовать немедленного возврата оставшейся суммы кредита и причитающихся процентов.</w:t>
      </w:r>
      <w:r w:rsidRPr="00BE0174">
        <w:rPr>
          <w:rFonts w:ascii="Arial" w:eastAsia="Times New Roman" w:hAnsi="Arial" w:cs="Arial"/>
          <w:color w:val="1A3038"/>
          <w:sz w:val="11"/>
          <w:lang w:eastAsia="ru-RU"/>
        </w:rPr>
        <w:t> </w:t>
      </w:r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br/>
      </w:r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br/>
      </w:r>
      <w:proofErr w:type="spellStart"/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Ковенанты</w:t>
      </w:r>
      <w:proofErr w:type="spellEnd"/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 подразделяют на активные обязательства (совершение определенных действий), пассивные обязательства (воздержание или отказ от совершения оговоренных действий) и финансовые </w:t>
      </w:r>
      <w:proofErr w:type="spellStart"/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крвенанты</w:t>
      </w:r>
      <w:proofErr w:type="spellEnd"/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.</w:t>
      </w:r>
      <w:r w:rsidRPr="00BE0174">
        <w:rPr>
          <w:rFonts w:ascii="Arial" w:eastAsia="Times New Roman" w:hAnsi="Arial" w:cs="Arial"/>
          <w:color w:val="1A3038"/>
          <w:sz w:val="11"/>
          <w:lang w:eastAsia="ru-RU"/>
        </w:rPr>
        <w:t> </w:t>
      </w:r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br/>
      </w:r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br/>
      </w:r>
      <w:proofErr w:type="gramStart"/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Финансовый</w:t>
      </w:r>
      <w:proofErr w:type="gramEnd"/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 </w:t>
      </w:r>
      <w:proofErr w:type="spellStart"/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ковенант</w:t>
      </w:r>
      <w:proofErr w:type="spellEnd"/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 касается экономических показателей деятельности заемщика, а именно поддержания их на определенном уровне. Например, устанавливаются минимальные или максимальные значения для:</w:t>
      </w:r>
      <w:r w:rsidRPr="00BE0174">
        <w:rPr>
          <w:rFonts w:ascii="Arial" w:eastAsia="Times New Roman" w:hAnsi="Arial" w:cs="Arial"/>
          <w:color w:val="1A3038"/>
          <w:sz w:val="11"/>
          <w:lang w:eastAsia="ru-RU"/>
        </w:rPr>
        <w:t> </w:t>
      </w:r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br/>
      </w:r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br/>
        <w:t>- размера собственного капитала:</w:t>
      </w:r>
      <w:r w:rsidRPr="00BE0174">
        <w:rPr>
          <w:rFonts w:ascii="Arial" w:eastAsia="Times New Roman" w:hAnsi="Arial" w:cs="Arial"/>
          <w:color w:val="1A3038"/>
          <w:sz w:val="11"/>
          <w:lang w:eastAsia="ru-RU"/>
        </w:rPr>
        <w:t> </w:t>
      </w:r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br/>
        <w:t>- коэффициента достаточности собственного капитала;</w:t>
      </w:r>
      <w:r w:rsidRPr="00BE0174">
        <w:rPr>
          <w:rFonts w:ascii="Arial" w:eastAsia="Times New Roman" w:hAnsi="Arial" w:cs="Arial"/>
          <w:color w:val="1A3038"/>
          <w:sz w:val="11"/>
          <w:lang w:eastAsia="ru-RU"/>
        </w:rPr>
        <w:t> </w:t>
      </w:r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br/>
        <w:t>- доли активов, находящихся в залоге у 3-их лиц;</w:t>
      </w:r>
      <w:r w:rsidRPr="00BE0174">
        <w:rPr>
          <w:rFonts w:ascii="Arial" w:eastAsia="Times New Roman" w:hAnsi="Arial" w:cs="Arial"/>
          <w:color w:val="1A3038"/>
          <w:sz w:val="11"/>
          <w:lang w:eastAsia="ru-RU"/>
        </w:rPr>
        <w:t> </w:t>
      </w:r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br/>
        <w:t>- размера дебиторской задолженности и пр.</w:t>
      </w:r>
      <w:r w:rsidRPr="00BE0174">
        <w:rPr>
          <w:rFonts w:ascii="Arial" w:eastAsia="Times New Roman" w:hAnsi="Arial" w:cs="Arial"/>
          <w:color w:val="1A3038"/>
          <w:sz w:val="11"/>
          <w:lang w:eastAsia="ru-RU"/>
        </w:rPr>
        <w:t> </w:t>
      </w:r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br/>
      </w:r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br/>
        <w:t xml:space="preserve">В основном, </w:t>
      </w:r>
      <w:proofErr w:type="spellStart"/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ковенант</w:t>
      </w:r>
      <w:proofErr w:type="spellEnd"/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 как таковой актуален для юридических лиц, но его принципы уместны и при кредитовании физических лиц (только список обязательств содержится непосредственно в кредитном договоре наряду с обязательствами по погашению ссуды, а не оформляется отдельным документом). Например, заемщик – физическое лицо может быть обязан:</w:t>
      </w:r>
      <w:r w:rsidRPr="00BE0174">
        <w:rPr>
          <w:rFonts w:ascii="Arial" w:eastAsia="Times New Roman" w:hAnsi="Arial" w:cs="Arial"/>
          <w:color w:val="1A3038"/>
          <w:sz w:val="11"/>
          <w:lang w:eastAsia="ru-RU"/>
        </w:rPr>
        <w:t> </w:t>
      </w:r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br/>
      </w:r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br/>
        <w:t>- предоставлять банку в оговоренные сроки справки о доходах;</w:t>
      </w:r>
      <w:r w:rsidRPr="00BE0174">
        <w:rPr>
          <w:rFonts w:ascii="Arial" w:eastAsia="Times New Roman" w:hAnsi="Arial" w:cs="Arial"/>
          <w:color w:val="1A3038"/>
          <w:sz w:val="11"/>
          <w:lang w:eastAsia="ru-RU"/>
        </w:rPr>
        <w:t> </w:t>
      </w:r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br/>
        <w:t>- осуществлять ежегодное страхование предмета залога;</w:t>
      </w:r>
      <w:r w:rsidRPr="00BE0174">
        <w:rPr>
          <w:rFonts w:ascii="Arial" w:eastAsia="Times New Roman" w:hAnsi="Arial" w:cs="Arial"/>
          <w:color w:val="1A3038"/>
          <w:sz w:val="11"/>
          <w:lang w:eastAsia="ru-RU"/>
        </w:rPr>
        <w:t> </w:t>
      </w:r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br/>
        <w:t>- производить в срок предусмотренные законодательством налоговые платежи, связанные с объектом кредитования и т.д.</w:t>
      </w:r>
      <w:r w:rsidRPr="00BE0174">
        <w:rPr>
          <w:rFonts w:ascii="Arial" w:eastAsia="Times New Roman" w:hAnsi="Arial" w:cs="Arial"/>
          <w:color w:val="1A3038"/>
          <w:sz w:val="11"/>
          <w:lang w:eastAsia="ru-RU"/>
        </w:rPr>
        <w:t> </w:t>
      </w:r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br/>
      </w:r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br/>
        <w:t xml:space="preserve">Основное значение финансового </w:t>
      </w:r>
      <w:proofErr w:type="spellStart"/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ковенанта</w:t>
      </w:r>
      <w:proofErr w:type="spellEnd"/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 состоит в том, что он позволяет значительно снизить стоимость кредита (за счет предоставления банку дополнительных</w:t>
      </w:r>
      <w:r w:rsidRPr="00BE0174">
        <w:rPr>
          <w:rFonts w:ascii="Arial" w:eastAsia="Times New Roman" w:hAnsi="Arial" w:cs="Arial"/>
          <w:color w:val="1A3038"/>
          <w:sz w:val="11"/>
          <w:lang w:eastAsia="ru-RU"/>
        </w:rPr>
        <w:t> </w:t>
      </w:r>
      <w:hyperlink r:id="rId4" w:tgtFrame="_self" w:history="1">
        <w:r w:rsidRPr="00BE0174">
          <w:rPr>
            <w:rFonts w:ascii="Arial" w:eastAsia="Times New Roman" w:hAnsi="Arial" w:cs="Arial"/>
            <w:color w:val="00497B"/>
            <w:sz w:val="11"/>
            <w:u w:val="single"/>
            <w:lang w:eastAsia="ru-RU"/>
          </w:rPr>
          <w:t>гарантий</w:t>
        </w:r>
      </w:hyperlink>
      <w:r w:rsidRPr="00BE0174">
        <w:rPr>
          <w:rFonts w:ascii="Arial" w:eastAsia="Times New Roman" w:hAnsi="Arial" w:cs="Arial"/>
          <w:color w:val="1A3038"/>
          <w:sz w:val="11"/>
          <w:lang w:eastAsia="ru-RU"/>
        </w:rPr>
        <w:t> </w:t>
      </w:r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и возможности немедленного возврата предоставленных сре</w:t>
      </w:r>
      <w:proofErr w:type="gramStart"/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дств в сл</w:t>
      </w:r>
      <w:proofErr w:type="gramEnd"/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учае невыполнения обязательств). Но в условиях финансового кризиса </w:t>
      </w:r>
      <w:proofErr w:type="spellStart"/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ковенант</w:t>
      </w:r>
      <w:proofErr w:type="spellEnd"/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 может также использоваться заемщиком для  того, чтобы уверить кредитора в стабильности своего положения и заручиться его доверием, поскольку банки сегодня </w:t>
      </w:r>
      <w:proofErr w:type="gramStart"/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t>крайне избирательны</w:t>
      </w:r>
      <w:proofErr w:type="gramEnd"/>
      <w:r w:rsidRPr="00BE0174">
        <w:rPr>
          <w:rFonts w:ascii="Arial" w:eastAsia="Times New Roman" w:hAnsi="Arial" w:cs="Arial"/>
          <w:color w:val="1A3038"/>
          <w:sz w:val="11"/>
          <w:szCs w:val="11"/>
          <w:lang w:eastAsia="ru-RU"/>
        </w:rPr>
        <w:t xml:space="preserve"> и действуют очень настороженно при заключении кредитных договоров.</w:t>
      </w:r>
    </w:p>
    <w:p w:rsidR="00BE0174" w:rsidRDefault="00BE0174" w:rsidP="00BE0174">
      <w:pPr>
        <w:spacing w:after="0" w:line="160" w:lineRule="atLeast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</w:p>
    <w:p w:rsidR="00BE0174" w:rsidRPr="00BE0174" w:rsidRDefault="00BE0174" w:rsidP="00BE0174">
      <w:pPr>
        <w:spacing w:after="0" w:line="160" w:lineRule="atLeast"/>
        <w:textAlignment w:val="baseline"/>
        <w:rPr>
          <w:rFonts w:ascii="Arial" w:eastAsia="Times New Roman" w:hAnsi="Arial" w:cs="Arial"/>
          <w:color w:val="1A3038"/>
          <w:sz w:val="11"/>
          <w:szCs w:val="11"/>
          <w:lang w:eastAsia="ru-RU"/>
        </w:rPr>
      </w:pPr>
    </w:p>
    <w:p w:rsidR="00BE0174" w:rsidRPr="00BE0174" w:rsidRDefault="00BE0174" w:rsidP="00BE0174">
      <w:pPr>
        <w:spacing w:after="0" w:line="160" w:lineRule="atLeast"/>
        <w:jc w:val="right"/>
        <w:textAlignment w:val="baseline"/>
        <w:rPr>
          <w:rFonts w:ascii="Arial" w:eastAsia="Times New Roman" w:hAnsi="Arial" w:cs="Arial"/>
          <w:color w:val="1A3038"/>
          <w:sz w:val="10"/>
          <w:szCs w:val="10"/>
          <w:lang w:eastAsia="ru-RU"/>
        </w:rPr>
      </w:pPr>
      <w:hyperlink r:id="rId5" w:history="1">
        <w:r w:rsidRPr="00BE0174">
          <w:rPr>
            <w:rFonts w:ascii="Arial" w:eastAsia="Times New Roman" w:hAnsi="Arial" w:cs="Arial"/>
            <w:color w:val="00497B"/>
            <w:sz w:val="10"/>
            <w:u w:val="single"/>
            <w:lang w:eastAsia="ru-RU"/>
          </w:rPr>
          <w:t xml:space="preserve">Елена </w:t>
        </w:r>
        <w:proofErr w:type="spellStart"/>
        <w:r w:rsidRPr="00BE0174">
          <w:rPr>
            <w:rFonts w:ascii="Arial" w:eastAsia="Times New Roman" w:hAnsi="Arial" w:cs="Arial"/>
            <w:color w:val="00497B"/>
            <w:sz w:val="10"/>
            <w:u w:val="single"/>
            <w:lang w:eastAsia="ru-RU"/>
          </w:rPr>
          <w:t>Антошенкова</w:t>
        </w:r>
        <w:proofErr w:type="spellEnd"/>
      </w:hyperlink>
      <w:r w:rsidRPr="00BE0174">
        <w:rPr>
          <w:rFonts w:ascii="Arial" w:eastAsia="Times New Roman" w:hAnsi="Arial" w:cs="Arial"/>
          <w:color w:val="1A3038"/>
          <w:sz w:val="10"/>
          <w:szCs w:val="10"/>
          <w:lang w:eastAsia="ru-RU"/>
        </w:rPr>
        <w:t xml:space="preserve">, специально для </w:t>
      </w:r>
      <w:proofErr w:type="spellStart"/>
      <w:r w:rsidRPr="00BE0174">
        <w:rPr>
          <w:rFonts w:ascii="Arial" w:eastAsia="Times New Roman" w:hAnsi="Arial" w:cs="Arial"/>
          <w:color w:val="1A3038"/>
          <w:sz w:val="10"/>
          <w:szCs w:val="10"/>
          <w:lang w:eastAsia="ru-RU"/>
        </w:rPr>
        <w:t>Занимаем</w:t>
      </w:r>
      <w:proofErr w:type="gramStart"/>
      <w:r w:rsidRPr="00BE0174">
        <w:rPr>
          <w:rFonts w:ascii="Arial" w:eastAsia="Times New Roman" w:hAnsi="Arial" w:cs="Arial"/>
          <w:color w:val="1A3038"/>
          <w:sz w:val="10"/>
          <w:szCs w:val="10"/>
          <w:lang w:eastAsia="ru-RU"/>
        </w:rPr>
        <w:t>.р</w:t>
      </w:r>
      <w:proofErr w:type="gramEnd"/>
      <w:r w:rsidRPr="00BE0174">
        <w:rPr>
          <w:rFonts w:ascii="Arial" w:eastAsia="Times New Roman" w:hAnsi="Arial" w:cs="Arial"/>
          <w:color w:val="1A3038"/>
          <w:sz w:val="10"/>
          <w:szCs w:val="10"/>
          <w:lang w:eastAsia="ru-RU"/>
        </w:rPr>
        <w:t>у</w:t>
      </w:r>
      <w:proofErr w:type="spellEnd"/>
      <w:r w:rsidRPr="00BE0174">
        <w:rPr>
          <w:rFonts w:ascii="Arial" w:eastAsia="Times New Roman" w:hAnsi="Arial" w:cs="Arial"/>
          <w:color w:val="1A3038"/>
          <w:sz w:val="10"/>
          <w:szCs w:val="10"/>
          <w:lang w:eastAsia="ru-RU"/>
        </w:rPr>
        <w:t>. 25 Августа 2009</w:t>
      </w:r>
    </w:p>
    <w:p w:rsidR="00872DB4" w:rsidRDefault="00872DB4"/>
    <w:sectPr w:rsidR="00872DB4" w:rsidSect="0087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BE0174"/>
    <w:rsid w:val="00872DB4"/>
    <w:rsid w:val="00BE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B4"/>
  </w:style>
  <w:style w:type="paragraph" w:styleId="1">
    <w:name w:val="heading 1"/>
    <w:basedOn w:val="a"/>
    <w:link w:val="10"/>
    <w:uiPriority w:val="9"/>
    <w:qFormat/>
    <w:rsid w:val="00BE0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0174"/>
  </w:style>
  <w:style w:type="character" w:styleId="a3">
    <w:name w:val="Hyperlink"/>
    <w:basedOn w:val="a0"/>
    <w:uiPriority w:val="99"/>
    <w:semiHidden/>
    <w:unhideWhenUsed/>
    <w:rsid w:val="00BE01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01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nimaem.ru/spravochnik-zaemshika/kreditopedia/finansovyy-kovenant.php" TargetMode="External"/><Relationship Id="rId4" Type="http://schemas.openxmlformats.org/officeDocument/2006/relationships/hyperlink" Target="http://www.zanimaem.ru/articles/25/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Company>Krokoz™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2015-06-12T06:13:00Z</dcterms:created>
  <dcterms:modified xsi:type="dcterms:W3CDTF">2015-06-12T06:13:00Z</dcterms:modified>
</cp:coreProperties>
</file>