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603F93" w:rsidRPr="00F47381" w:rsidRDefault="00ED1E0D" w:rsidP="00603F93">
      <w:pPr>
        <w:pStyle w:val="ab"/>
        <w:pBdr>
          <w:bottom w:val="single" w:sz="4" w:space="4" w:color="F0A22E"/>
        </w:pBdr>
        <w:rPr>
          <w:rFonts w:ascii="Cambria" w:eastAsia="Calibri" w:hAnsi="Cambria" w:cs="Times New Roman"/>
        </w:rPr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03F93" w:rsidRPr="00F47381">
        <w:rPr>
          <w:rFonts w:ascii="Cambria" w:eastAsia="Calibri" w:hAnsi="Cambria" w:cs="Times New Roman"/>
        </w:rPr>
        <w:t>Интернет-сервису</w:t>
      </w:r>
      <w:proofErr w:type="gramEnd"/>
      <w:r w:rsidR="00603F93" w:rsidRPr="00F47381">
        <w:rPr>
          <w:rFonts w:ascii="Cambria" w:eastAsia="Calibri" w:hAnsi="Cambria" w:cs="Times New Roman"/>
        </w:rPr>
        <w:t xml:space="preserve"> по кредитованию населения Credit365 исполнился год!</w:t>
      </w:r>
    </w:p>
    <w:p w:rsidR="00603F93" w:rsidRDefault="00603F93" w:rsidP="00603F9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 xml:space="preserve">В декабре 2014 года исполняется год, как в Украине успешно действует </w:t>
      </w:r>
      <w:proofErr w:type="spellStart"/>
      <w:r w:rsidRPr="00F47381">
        <w:rPr>
          <w:rFonts w:ascii="Calibri" w:hAnsi="Calibri" w:cs="Tahoma"/>
          <w:sz w:val="22"/>
          <w:szCs w:val="22"/>
        </w:rPr>
        <w:t>онлайн-сервис</w:t>
      </w:r>
      <w:proofErr w:type="spellEnd"/>
      <w:r w:rsidRPr="00F47381">
        <w:rPr>
          <w:rFonts w:ascii="Calibri" w:hAnsi="Calibri" w:cs="Tahoma"/>
          <w:sz w:val="22"/>
          <w:szCs w:val="22"/>
        </w:rPr>
        <w:t xml:space="preserve">, предоставляющий гражданам страны </w:t>
      </w:r>
      <w:proofErr w:type="spellStart"/>
      <w:r w:rsidRPr="00F47381">
        <w:rPr>
          <w:rFonts w:ascii="Calibri" w:hAnsi="Calibri" w:cs="Tahoma"/>
          <w:sz w:val="22"/>
          <w:szCs w:val="22"/>
        </w:rPr>
        <w:t>микрозаймы</w:t>
      </w:r>
      <w:proofErr w:type="spellEnd"/>
      <w:r w:rsidRPr="00F47381">
        <w:rPr>
          <w:rFonts w:ascii="Calibri" w:hAnsi="Calibri" w:cs="Tahoma"/>
          <w:sz w:val="22"/>
          <w:szCs w:val="22"/>
        </w:rPr>
        <w:t>, — Credit365.ua. Финансовый интернет-инструмент входит в структуру «</w:t>
      </w:r>
      <w:proofErr w:type="spellStart"/>
      <w:r w:rsidRPr="00F47381">
        <w:rPr>
          <w:rFonts w:ascii="Calibri" w:hAnsi="Calibri" w:cs="Tahoma"/>
          <w:sz w:val="22"/>
          <w:szCs w:val="22"/>
        </w:rPr>
        <w:t>Katsuba</w:t>
      </w:r>
      <w:proofErr w:type="spellEnd"/>
      <w:r w:rsidRPr="00F4738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47381">
        <w:rPr>
          <w:rFonts w:ascii="Calibri" w:hAnsi="Calibri" w:cs="Tahoma"/>
          <w:sz w:val="22"/>
          <w:szCs w:val="22"/>
        </w:rPr>
        <w:t>Corp</w:t>
      </w:r>
      <w:proofErr w:type="spellEnd"/>
      <w:r w:rsidRPr="00F47381">
        <w:rPr>
          <w:rFonts w:ascii="Calibri" w:hAnsi="Calibri" w:cs="Tahoma"/>
          <w:sz w:val="22"/>
          <w:szCs w:val="22"/>
        </w:rPr>
        <w:t xml:space="preserve">». Авторы этого проекта — Александр Кацуба и Рональд Гулами. </w:t>
      </w: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</w:p>
    <w:p w:rsidR="00603F93" w:rsidRDefault="00603F93" w:rsidP="00603F9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 xml:space="preserve">«Credit365» — это </w:t>
      </w:r>
      <w:proofErr w:type="spellStart"/>
      <w:r w:rsidRPr="00F47381">
        <w:rPr>
          <w:rFonts w:ascii="Calibri" w:hAnsi="Calibri" w:cs="Tahoma"/>
          <w:sz w:val="22"/>
          <w:szCs w:val="22"/>
        </w:rPr>
        <w:t>онлайн-сервис</w:t>
      </w:r>
      <w:proofErr w:type="spellEnd"/>
      <w:r w:rsidRPr="00F47381">
        <w:rPr>
          <w:rFonts w:ascii="Calibri" w:hAnsi="Calibri" w:cs="Tahoma"/>
          <w:sz w:val="22"/>
          <w:szCs w:val="22"/>
        </w:rPr>
        <w:t xml:space="preserve">, с помощью которого граждане Украины (возраст от 20 до 75 лет) могут получить за считанные минуты </w:t>
      </w:r>
      <w:proofErr w:type="spellStart"/>
      <w:r w:rsidRPr="00F47381">
        <w:rPr>
          <w:rFonts w:ascii="Calibri" w:hAnsi="Calibri" w:cs="Tahoma"/>
          <w:sz w:val="22"/>
          <w:szCs w:val="22"/>
        </w:rPr>
        <w:t>займ</w:t>
      </w:r>
      <w:proofErr w:type="spellEnd"/>
      <w:r w:rsidRPr="00F47381">
        <w:rPr>
          <w:rFonts w:ascii="Calibri" w:hAnsi="Calibri" w:cs="Tahoma"/>
          <w:sz w:val="22"/>
          <w:szCs w:val="22"/>
        </w:rPr>
        <w:t xml:space="preserve"> от 500 до 7000 гривен сроком до 30 дней. Если человек обращается впервые, то максимальная сумма, которую ему могут выделить, не превышает 1500 гривен. Процентная ставка — от 10 до 42% (минимальный срок погашения задолженности — 7 дней).</w:t>
      </w: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</w:p>
    <w:p w:rsidR="00603F93" w:rsidRDefault="00603F93" w:rsidP="00603F9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 xml:space="preserve">Главное преимущество сетевого финансового «института» — быстрое рассмотрение заявки от соискателя </w:t>
      </w:r>
      <w:proofErr w:type="spellStart"/>
      <w:r w:rsidRPr="00F47381">
        <w:rPr>
          <w:rFonts w:ascii="Calibri" w:hAnsi="Calibri" w:cs="Tahoma"/>
          <w:sz w:val="22"/>
          <w:szCs w:val="22"/>
        </w:rPr>
        <w:t>микрокредита</w:t>
      </w:r>
      <w:proofErr w:type="spellEnd"/>
      <w:r w:rsidRPr="00F47381">
        <w:rPr>
          <w:rFonts w:ascii="Calibri" w:hAnsi="Calibri" w:cs="Tahoma"/>
          <w:sz w:val="22"/>
          <w:szCs w:val="22"/>
        </w:rPr>
        <w:t xml:space="preserve">, что занимает не более 15 минут. Причем для регистрации в сервисе достаточно указать Ф.И.О., ИНН, номер мобильного телефона и пластиковой карты. Для подтверждения </w:t>
      </w:r>
      <w:proofErr w:type="spellStart"/>
      <w:r w:rsidRPr="00F47381">
        <w:rPr>
          <w:rFonts w:ascii="Calibri" w:hAnsi="Calibri" w:cs="Tahoma"/>
          <w:sz w:val="22"/>
          <w:szCs w:val="22"/>
        </w:rPr>
        <w:t>аккаунта</w:t>
      </w:r>
      <w:proofErr w:type="spellEnd"/>
      <w:r w:rsidRPr="00F47381">
        <w:rPr>
          <w:rFonts w:ascii="Calibri" w:hAnsi="Calibri" w:cs="Tahoma"/>
          <w:sz w:val="22"/>
          <w:szCs w:val="22"/>
        </w:rPr>
        <w:t xml:space="preserve"> необходимо перечислить со своего счета 1 гривну, тем самым соглашаясь с правилами и теми условиями, на которых предоставляются деньги.     </w:t>
      </w: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</w:p>
    <w:p w:rsidR="00603F93" w:rsidRDefault="00603F93" w:rsidP="00603F9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 xml:space="preserve">Если решение о выдаче ссуды оказывается положительным, указанная сумма перечисляется на тот банковский счет, что посетитель сайта указал при оформлении заявки. При этом заемщику не нужно предъявлять никаких документов, подтверждающих доход, иметь поручителя. </w:t>
      </w: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</w:p>
    <w:p w:rsidR="00603F93" w:rsidRDefault="00603F93" w:rsidP="00603F9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 xml:space="preserve">Отметить стоит и другие плюсы сервиса «Credit365» — отсутствие дополнительных платежей, которые обычно взимают </w:t>
      </w:r>
      <w:proofErr w:type="spellStart"/>
      <w:r w:rsidRPr="00F47381">
        <w:rPr>
          <w:rFonts w:ascii="Calibri" w:hAnsi="Calibri" w:cs="Tahoma"/>
          <w:sz w:val="22"/>
          <w:szCs w:val="22"/>
        </w:rPr>
        <w:t>офлайн-банки</w:t>
      </w:r>
      <w:proofErr w:type="spellEnd"/>
      <w:r w:rsidRPr="00F47381">
        <w:rPr>
          <w:rFonts w:ascii="Calibri" w:hAnsi="Calibri" w:cs="Tahoma"/>
          <w:sz w:val="22"/>
          <w:szCs w:val="22"/>
        </w:rPr>
        <w:t xml:space="preserve"> (за открытие и обслуживание счета, кредитной карты и т.д.), а также то, что кредит выдается без страховки, что в итоге снижает стоимость его использования.</w:t>
      </w: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</w:p>
    <w:p w:rsidR="00603F93" w:rsidRDefault="00603F93" w:rsidP="00603F9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>Погашать задолженность можно несколькими способами: в личном кабинете, через терминалы «</w:t>
      </w:r>
      <w:proofErr w:type="spellStart"/>
      <w:r w:rsidRPr="00F47381">
        <w:rPr>
          <w:rFonts w:ascii="Calibri" w:hAnsi="Calibri" w:cs="Tahoma"/>
          <w:sz w:val="22"/>
          <w:szCs w:val="22"/>
        </w:rPr>
        <w:t>ПриватБанка</w:t>
      </w:r>
      <w:proofErr w:type="spellEnd"/>
      <w:r w:rsidRPr="00F47381">
        <w:rPr>
          <w:rFonts w:ascii="Calibri" w:hAnsi="Calibri" w:cs="Tahoma"/>
          <w:sz w:val="22"/>
          <w:szCs w:val="22"/>
        </w:rPr>
        <w:t>» и «</w:t>
      </w:r>
      <w:proofErr w:type="spellStart"/>
      <w:r w:rsidRPr="00F47381">
        <w:rPr>
          <w:rFonts w:ascii="Calibri" w:hAnsi="Calibri" w:cs="Tahoma"/>
          <w:sz w:val="22"/>
          <w:szCs w:val="22"/>
        </w:rPr>
        <w:t>iBox</w:t>
      </w:r>
      <w:proofErr w:type="spellEnd"/>
      <w:r w:rsidRPr="00F47381">
        <w:rPr>
          <w:rFonts w:ascii="Calibri" w:hAnsi="Calibri" w:cs="Tahoma"/>
          <w:sz w:val="22"/>
          <w:szCs w:val="22"/>
        </w:rPr>
        <w:t>», банковскими переводами и др.</w:t>
      </w: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</w:p>
    <w:p w:rsidR="00603F93" w:rsidRDefault="00603F93" w:rsidP="00603F9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 xml:space="preserve">Пользователи сервиса «Credit365» имеют возможность неограниченное количество раз продлевать срок кредитования, разумеется, случае, если они без просрочек выполнили свои предыдущие обязательства.    </w:t>
      </w: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>В планах основателей проекта занять 20% в сегменте кредитования граждан Украины через Интернет.</w:t>
      </w: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>Дополнительную информацию об условиях кредитования, сумме, процентных ставках, и сроках погашения можно получить:</w:t>
      </w: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>на официальном сайте — https://credit365.ua;</w:t>
      </w:r>
    </w:p>
    <w:p w:rsidR="00603F93" w:rsidRPr="00F47381" w:rsidRDefault="00603F93" w:rsidP="00603F93">
      <w:pPr>
        <w:autoSpaceDE w:val="0"/>
        <w:autoSpaceDN w:val="0"/>
        <w:adjustRightInd w:val="0"/>
        <w:ind w:firstLine="709"/>
        <w:jc w:val="both"/>
        <w:rPr>
          <w:rFonts w:ascii="Calibri" w:hAnsi="Calibr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 xml:space="preserve">отправив запрос по электронной почте — info@credit365.ua;  </w:t>
      </w:r>
    </w:p>
    <w:p w:rsidR="00676AB1" w:rsidRPr="00603F93" w:rsidRDefault="00603F93" w:rsidP="00603F9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Tahoma"/>
          <w:sz w:val="22"/>
          <w:szCs w:val="22"/>
        </w:rPr>
      </w:pPr>
      <w:r w:rsidRPr="00F47381">
        <w:rPr>
          <w:rFonts w:ascii="Calibri" w:hAnsi="Calibri" w:cs="Tahoma"/>
          <w:sz w:val="22"/>
          <w:szCs w:val="22"/>
        </w:rPr>
        <w:t>позвонив по телефону в службу поддержки — +380 (44) 238-81-00.</w:t>
      </w:r>
    </w:p>
    <w:sectPr w:rsidR="00676AB1" w:rsidRPr="00603F93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B4" w:rsidRPr="00ED1E0D" w:rsidRDefault="00C467B4" w:rsidP="00ED1E0D">
      <w:r>
        <w:separator/>
      </w:r>
    </w:p>
  </w:endnote>
  <w:endnote w:type="continuationSeparator" w:id="0">
    <w:p w:rsidR="00C467B4" w:rsidRPr="00ED1E0D" w:rsidRDefault="00C467B4" w:rsidP="00ED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B4" w:rsidRPr="00ED1E0D" w:rsidRDefault="00C467B4" w:rsidP="00ED1E0D">
      <w:r>
        <w:separator/>
      </w:r>
    </w:p>
  </w:footnote>
  <w:footnote w:type="continuationSeparator" w:id="0">
    <w:p w:rsidR="00C467B4" w:rsidRPr="00ED1E0D" w:rsidRDefault="00C467B4" w:rsidP="00ED1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52226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1030AF"/>
    <w:rsid w:val="0012245D"/>
    <w:rsid w:val="0015256D"/>
    <w:rsid w:val="0015583D"/>
    <w:rsid w:val="0019187D"/>
    <w:rsid w:val="001A6467"/>
    <w:rsid w:val="0023023B"/>
    <w:rsid w:val="00262A22"/>
    <w:rsid w:val="00267E08"/>
    <w:rsid w:val="002C3CAD"/>
    <w:rsid w:val="002D1FC1"/>
    <w:rsid w:val="002F7F4B"/>
    <w:rsid w:val="0033454C"/>
    <w:rsid w:val="00335534"/>
    <w:rsid w:val="00353DBC"/>
    <w:rsid w:val="00364F88"/>
    <w:rsid w:val="00381425"/>
    <w:rsid w:val="003C0F92"/>
    <w:rsid w:val="003C6BD8"/>
    <w:rsid w:val="003E0D36"/>
    <w:rsid w:val="004E4829"/>
    <w:rsid w:val="005A4C4D"/>
    <w:rsid w:val="005D472A"/>
    <w:rsid w:val="005D7AAF"/>
    <w:rsid w:val="00603F93"/>
    <w:rsid w:val="00612B18"/>
    <w:rsid w:val="00633F3E"/>
    <w:rsid w:val="00643D8A"/>
    <w:rsid w:val="00661948"/>
    <w:rsid w:val="00676AB1"/>
    <w:rsid w:val="0068035E"/>
    <w:rsid w:val="0069135F"/>
    <w:rsid w:val="006C3C78"/>
    <w:rsid w:val="006F73C8"/>
    <w:rsid w:val="007145BE"/>
    <w:rsid w:val="00720F26"/>
    <w:rsid w:val="007830BF"/>
    <w:rsid w:val="007D5045"/>
    <w:rsid w:val="00811B90"/>
    <w:rsid w:val="0086196D"/>
    <w:rsid w:val="008754F1"/>
    <w:rsid w:val="008A2B8A"/>
    <w:rsid w:val="008B3127"/>
    <w:rsid w:val="008E22EC"/>
    <w:rsid w:val="008E69E8"/>
    <w:rsid w:val="00913962"/>
    <w:rsid w:val="00974432"/>
    <w:rsid w:val="0098418A"/>
    <w:rsid w:val="00987389"/>
    <w:rsid w:val="009A6314"/>
    <w:rsid w:val="009A6F0E"/>
    <w:rsid w:val="009A70E4"/>
    <w:rsid w:val="009B2D30"/>
    <w:rsid w:val="009C7293"/>
    <w:rsid w:val="00A54AAD"/>
    <w:rsid w:val="00AC06E2"/>
    <w:rsid w:val="00AF49BB"/>
    <w:rsid w:val="00B107B2"/>
    <w:rsid w:val="00B25A00"/>
    <w:rsid w:val="00B74D60"/>
    <w:rsid w:val="00BF769F"/>
    <w:rsid w:val="00C01458"/>
    <w:rsid w:val="00C0312D"/>
    <w:rsid w:val="00C41C58"/>
    <w:rsid w:val="00C467B4"/>
    <w:rsid w:val="00C63D6C"/>
    <w:rsid w:val="00C81788"/>
    <w:rsid w:val="00CA1022"/>
    <w:rsid w:val="00CE0618"/>
    <w:rsid w:val="00CF399E"/>
    <w:rsid w:val="00D5184D"/>
    <w:rsid w:val="00DC667C"/>
    <w:rsid w:val="00DD3AAD"/>
    <w:rsid w:val="00E00C59"/>
    <w:rsid w:val="00E06EA1"/>
    <w:rsid w:val="00E1075C"/>
    <w:rsid w:val="00E274DD"/>
    <w:rsid w:val="00E33A03"/>
    <w:rsid w:val="00E76500"/>
    <w:rsid w:val="00E839C7"/>
    <w:rsid w:val="00E94485"/>
    <w:rsid w:val="00EB04AD"/>
    <w:rsid w:val="00ED1E0D"/>
    <w:rsid w:val="00EF5712"/>
    <w:rsid w:val="00F66B8D"/>
    <w:rsid w:val="00FC58CD"/>
    <w:rsid w:val="00FE6B87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0A22E" w:themeColor="accent1"/>
      <w:sz w:val="22"/>
      <w:szCs w:val="22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line="264" w:lineRule="auto"/>
      <w:ind w:left="720"/>
      <w:contextualSpacing/>
      <w:jc w:val="both"/>
    </w:pPr>
    <w:rPr>
      <w:rFonts w:asciiTheme="minorHAnsi" w:eastAsiaTheme="minorHAnsi" w:hAnsiTheme="minorHAnsi" w:cs="Segoe UI"/>
      <w:lang w:eastAsia="en-US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0A22E" w:themeColor="accent1"/>
      <w:spacing w:val="15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paragraph" w:customStyle="1" w:styleId="11">
    <w:name w:val="Подзаг1"/>
    <w:basedOn w:val="1"/>
    <w:link w:val="12"/>
    <w:qFormat/>
    <w:rsid w:val="0019187D"/>
  </w:style>
  <w:style w:type="paragraph" w:customStyle="1" w:styleId="23">
    <w:name w:val="Подзаг2"/>
    <w:basedOn w:val="21"/>
    <w:link w:val="24"/>
    <w:qFormat/>
    <w:rsid w:val="0019187D"/>
  </w:style>
  <w:style w:type="character" w:customStyle="1" w:styleId="12">
    <w:name w:val="Подзаг1 Знак"/>
    <w:basedOn w:val="10"/>
    <w:link w:val="11"/>
    <w:rsid w:val="0019187D"/>
    <w:rPr>
      <w:iCs/>
    </w:rPr>
  </w:style>
  <w:style w:type="character" w:customStyle="1" w:styleId="24">
    <w:name w:val="Подзаг2 Знак"/>
    <w:basedOn w:val="22"/>
    <w:link w:val="23"/>
    <w:rsid w:val="0019187D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D9E79-C14B-4B13-85CA-7877CFC5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2015-10-13T15:31:00Z</dcterms:created>
  <dcterms:modified xsi:type="dcterms:W3CDTF">2015-10-13T15:31:00Z</dcterms:modified>
</cp:coreProperties>
</file>