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9413" w:rsidP="00709413" w:rsidRDefault="00709413" w14:paraId="6CE8AE3F" w14:textId="3255C374">
      <w:pPr>
        <w:pStyle w:val="Normal"/>
      </w:pPr>
    </w:p>
    <w:p w:rsidR="00709413" w:rsidRDefault="00709413" w14:paraId="394F1B1F" w14:textId="6070C7C5">
      <w:proofErr w:type="spellStart"/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Technology</w:t>
      </w:r>
      <w:proofErr w:type="spellEnd"/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Environmentalism</w:t>
      </w:r>
      <w:proofErr w:type="spellEnd"/>
      <w:r>
        <w:br/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     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were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choreographing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dance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between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technology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would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strange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indeed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Contrary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today’s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ahistorical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postmodernism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has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existed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since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early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humans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began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driving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megafauna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extinct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Australia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smelting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metal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China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Greece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Rome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deforestring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Europe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North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Africa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end-of-pipe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command-and-control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regulations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modern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invention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: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early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1306,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London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adopted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ordinances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limiting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burning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air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quality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reasons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(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which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not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prevent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“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killer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smogs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”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1873, 1880, 1891,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1952,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latter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leading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new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clean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air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legislation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1956).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Another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example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English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Alkali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1863,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passed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control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emissions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gaseous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hydrochloric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acid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7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resulting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from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LeBlanc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method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producing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sodium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carbonate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imposed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“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best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available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control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technology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”,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BACT,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acid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absorption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towers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designed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William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Gossage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Such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examples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their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modern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analogs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illustrate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continuing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dialogue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between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technology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powerful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movement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addressing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simple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easily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observed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problems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clean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air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water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waste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site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cleanup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preservation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valued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landscapes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protecting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endangered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species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even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bans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materials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whose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problematic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impacts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easily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demonstrated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(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example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lead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gasoline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).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successes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achieved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these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cases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important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Potential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dangers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arise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tools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mental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models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appropriate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simple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solutions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applied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complex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disfunctional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From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political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perspective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surveys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continually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demonstrate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strong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support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but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primarily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extends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easily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seen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problems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–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reasons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that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much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activism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focuses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manufacturing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perceived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issues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both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easily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detected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relatively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easily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fixed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issues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involve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complex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systems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with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time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cycles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measured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decades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centuries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rather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months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and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scientific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uncertainty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relatively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high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public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support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falls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off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rapidly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explains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some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extent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Americans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strongly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support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environmentalism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generally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but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are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deeply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split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over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Kyoto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process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is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obvious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complexity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when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attempting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craft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long-term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policies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to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address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these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fundamental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environmental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perturbations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</w:t>
      </w:r>
      <w:r>
        <w:br/>
      </w:r>
      <w:r>
        <w:br/>
      </w:r>
      <w:r w:rsidRPr="00709413" w:rsidR="00709413">
        <w:rPr>
          <w:rFonts w:ascii="Calibri" w:hAnsi="Calibri" w:eastAsia="Calibri" w:cs="Calibri"/>
          <w:b w:val="1"/>
          <w:bCs w:val="1"/>
          <w:color w:val="333333"/>
          <w:sz w:val="22"/>
          <w:szCs w:val="22"/>
        </w:rPr>
        <w:t>Технологии и защита окружающей среды.</w:t>
      </w:r>
      <w:r>
        <w:br/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Если бы кто-нибудь изобразил отношения между технологиями и окружающей средой в виде танца, он несомненно получился бы странным. Вопреки современному неисторическому постмодернизму эти отношения существовали с тех пор как древние люди начали истреблять мегафауну в Австралии, плавить металл в Китае, Греции и Риме и вырубать лес в Европе и Северной Африке.</w:t>
      </w:r>
      <w:r>
        <w:br/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Также и предписания по конечному регулированию выбросов не являются чем-то новым: е</w:t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ще в 1306 году в Лондоне приняли постановление об ограничении сжигания угля для повышения качества воздуха (что не помешало возникновению "смога-убийцы" в 1873, 1880, 1891 и 1952 годах). Последнее такое погодное явление привело к принятию нового закона о чистоте воздуха в 1956 году. Другим примером законов о защите окружающей среды является английский "Закон о Щелочах" 1863 года, призванный контролировать выбросы газов соляной кислоты, которые возникают в результате производства карбоната натрия методом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Леблана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. Благодаря этому закону была создана "наиболее доступная технология контроля" или "НДТК" реализованная в виде сконструированных Уильямом </w:t>
      </w:r>
      <w:proofErr w:type="spellStart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Госсаджем</w:t>
      </w:r>
      <w:proofErr w:type="spellEnd"/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башен для абсорбции кислоты.</w:t>
      </w:r>
      <w:r>
        <w:br/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Эти примеры и их современные аналоги иллюстрируют непрекращающийся диалог между природоохранной деятельностью и технологиями. Движение по защите окружающей среды действенно в решении простых и легко наблюдаемых проблем, например вопросов чистоты воздуха и воды, проблемы свалок, сохранения значимых природных участков, защиты вымирающих видов и даже запрета веществ, отрицательное влияние которых на окружающую среду может быть с легкостью продемонстрировано (например, свинца</w:t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 xml:space="preserve"> в бензине). В подобных случаях защитники окружающей среды, несомненно, добились значительного успеха.</w:t>
      </w:r>
      <w:r>
        <w:br/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Потенциальная опасность возникает тогда, когда средства и ментальные модели подходящие к простым проблемам, применяются к сложным, по отношению к которым они не</w:t>
      </w:r>
      <w:r w:rsidRPr="00709413" w:rsidR="00709413">
        <w:rPr>
          <w:rFonts w:ascii="Calibri" w:hAnsi="Calibri" w:eastAsia="Calibri" w:cs="Calibri"/>
          <w:b w:val="0"/>
          <w:bCs w:val="0"/>
          <w:color w:val="333333"/>
          <w:sz w:val="22"/>
          <w:szCs w:val="22"/>
        </w:rPr>
        <w:t>действенны. Что касается политического аспекта, опросы населения продолжают говорить о серьезной поддержке природоохранной деятельности. Но эта поддержка распространяется, главным образом, на проблемы, которые у всех на виду. Это одна из причин того, что большая часть активной деятельности направлена на сферу производства, проблемы, связанные с которой, легко обнаруживать и относительно легко решать. Но когда вопросы вовлекают в себя комплексные системы с временными циклами, измеряемыми десятилетиями и столетиями, и по которым мнение научного сообщества неоднородно, поддержка общества быстро ослабевает. Это, в какой-то степени, объясняет, почему американское общество поддерживает деятельность по защите окружающей среды в целом, но  сильно разрозненно относительно Киотского протокола. Таким образом, существует очевидная сложность в попытках создать долгосрочные стратегии для решения подобных значимых вопросов относящихся к окружающей среде.</w:t>
      </w:r>
    </w:p>
    <w:p w:rsidR="00709413" w:rsidP="00709413" w:rsidRDefault="00709413" w14:paraId="5FE0BA0D" w14:textId="4D32CB8C">
      <w:pPr>
        <w:pStyle w:val="Normal"/>
        <w:ind w:left="-15"/>
      </w:pPr>
    </w:p>
    <w:p w:rsidR="00709413" w:rsidP="00709413" w:rsidRDefault="00709413" w14:paraId="01C9EC34" w14:textId="3064778C">
      <w:pPr>
        <w:pStyle w:val="Normal"/>
      </w:pPr>
    </w:p>
    <w:p w:rsidR="00709413" w:rsidP="00709413" w:rsidRDefault="00709413" w14:paraId="2F173814" w14:textId="512B316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a2e2-5080-4e4d-8d65-58b840e8aa3a}"/>
  <w14:docId w14:val="5CAB2E6D"/>
  <w:rsids>
    <w:rsidRoot w:val="00709413"/>
    <w:rsid w:val="007094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bc10a88a8384f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2016-02-04T10:30:21.3838372Z</dcterms:modified>
  <lastModifiedBy>Константин Мадеев</lastModifiedBy>
</coreProperties>
</file>