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9" w:rsidRPr="00A355BA" w:rsidRDefault="00263169" w:rsidP="002F00B5">
      <w:pPr>
        <w:ind w:firstLine="340"/>
        <w:rPr>
          <w:rFonts w:ascii="Arial" w:hAnsi="Arial" w:cs="Arial"/>
          <w:b/>
          <w:sz w:val="22"/>
          <w:szCs w:val="22"/>
        </w:rPr>
      </w:pPr>
      <w:r w:rsidRPr="00A355BA">
        <w:rPr>
          <w:rFonts w:ascii="Arial" w:hAnsi="Arial" w:cs="Arial"/>
          <w:b/>
          <w:sz w:val="22"/>
          <w:szCs w:val="22"/>
        </w:rPr>
        <w:t>Уточнена ставка налога с дивидендов</w:t>
      </w:r>
    </w:p>
    <w:p w:rsidR="00263169" w:rsidRPr="002F00B5" w:rsidRDefault="00263169" w:rsidP="002F00B5">
      <w:pPr>
        <w:ind w:firstLine="340"/>
        <w:rPr>
          <w:rFonts w:ascii="Arial" w:hAnsi="Arial" w:cs="Arial"/>
          <w:sz w:val="22"/>
          <w:szCs w:val="22"/>
        </w:rPr>
      </w:pPr>
      <w:r w:rsidRPr="002F00B5">
        <w:rPr>
          <w:rFonts w:ascii="Arial" w:hAnsi="Arial" w:cs="Arial"/>
          <w:sz w:val="22"/>
          <w:szCs w:val="22"/>
        </w:rPr>
        <w:t>Выплачиваемые иностранной компании дивиденды облагаются налогом на прибыль по ставке 15 процентов. Но если только у России не заключено соглашение об избежание двойного налогообложения со ст</w:t>
      </w:r>
      <w:bookmarkStart w:id="0" w:name="_GoBack"/>
      <w:bookmarkEnd w:id="0"/>
      <w:r w:rsidRPr="002F00B5">
        <w:rPr>
          <w:rFonts w:ascii="Arial" w:hAnsi="Arial" w:cs="Arial"/>
          <w:sz w:val="22"/>
          <w:szCs w:val="22"/>
        </w:rPr>
        <w:t xml:space="preserve">раной, резидентом которой является иностранная фирма (письмо Минфина России от 7 марта 2014 г. № 03-08-РЗ/10213). </w:t>
      </w:r>
    </w:p>
    <w:p w:rsidR="00263169" w:rsidRPr="002F00B5" w:rsidRDefault="00263169" w:rsidP="002F00B5">
      <w:pPr>
        <w:ind w:firstLine="340"/>
        <w:rPr>
          <w:rFonts w:ascii="Arial" w:hAnsi="Arial" w:cs="Arial"/>
          <w:sz w:val="22"/>
          <w:szCs w:val="22"/>
        </w:rPr>
      </w:pPr>
      <w:r w:rsidRPr="002F00B5">
        <w:rPr>
          <w:rFonts w:ascii="Arial" w:hAnsi="Arial" w:cs="Arial"/>
          <w:sz w:val="22"/>
          <w:szCs w:val="22"/>
        </w:rPr>
        <w:t>1. Порядок выплаты дивидендов, порядок выплаты дивидендов иностранным компаниям?</w:t>
      </w:r>
    </w:p>
    <w:p w:rsidR="00263169" w:rsidRPr="002F00B5" w:rsidRDefault="00263169" w:rsidP="002F00B5">
      <w:pPr>
        <w:ind w:firstLine="340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2F00B5">
        <w:rPr>
          <w:rFonts w:ascii="Arial" w:hAnsi="Arial" w:cs="Arial"/>
          <w:sz w:val="22"/>
          <w:szCs w:val="22"/>
        </w:rPr>
        <w:t>2. Разъяснения чиновников, арбитражная практика?</w:t>
      </w:r>
      <w:bookmarkEnd w:id="1"/>
      <w:bookmarkEnd w:id="2"/>
    </w:p>
    <w:p w:rsidR="002F00B5" w:rsidRDefault="002F00B5" w:rsidP="002F00B5">
      <w:pPr>
        <w:ind w:firstLine="340"/>
        <w:rPr>
          <w:rFonts w:ascii="Arial" w:hAnsi="Arial" w:cs="Arial"/>
          <w:sz w:val="22"/>
          <w:szCs w:val="22"/>
        </w:rPr>
      </w:pPr>
    </w:p>
    <w:p w:rsidR="00110688" w:rsidRDefault="00A02AD1" w:rsidP="00A02AD1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Налоговый кодекс Российской Федерации (далее – НК РФ) под дивидендами понимает «</w:t>
      </w:r>
      <w:r w:rsidRPr="008F260D">
        <w:rPr>
          <w:rFonts w:ascii="Arial" w:hAnsi="Arial" w:cs="Arial"/>
          <w:sz w:val="22"/>
          <w:szCs w:val="22"/>
        </w:rPr>
        <w:t>любой доход, полученный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</w:t>
      </w:r>
      <w:r>
        <w:rPr>
          <w:rFonts w:ascii="Arial" w:hAnsi="Arial" w:cs="Arial"/>
          <w:sz w:val="22"/>
          <w:szCs w:val="22"/>
        </w:rPr>
        <w:t>» (п.1 ст.43)</w:t>
      </w:r>
      <w:r w:rsidRPr="008F26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A02AD1" w:rsidRDefault="00A02AD1" w:rsidP="00A02AD1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При этом понятие «дивиденды»</w:t>
      </w:r>
      <w:r w:rsidR="00C31857">
        <w:rPr>
          <w:rFonts w:ascii="Arial" w:hAnsi="Arial" w:cs="Arial"/>
          <w:sz w:val="22"/>
          <w:szCs w:val="22"/>
        </w:rPr>
        <w:t xml:space="preserve"> применительно к распределению чистой прибыли общества</w:t>
      </w:r>
      <w:r>
        <w:rPr>
          <w:rFonts w:ascii="Arial" w:hAnsi="Arial" w:cs="Arial"/>
          <w:sz w:val="22"/>
          <w:szCs w:val="22"/>
        </w:rPr>
        <w:t xml:space="preserve"> </w:t>
      </w:r>
      <w:r w:rsidR="00906AD9">
        <w:rPr>
          <w:rFonts w:ascii="Arial" w:hAnsi="Arial" w:cs="Arial"/>
          <w:sz w:val="22"/>
          <w:szCs w:val="22"/>
        </w:rPr>
        <w:t>используется</w:t>
      </w:r>
      <w:r>
        <w:rPr>
          <w:rFonts w:ascii="Arial" w:hAnsi="Arial" w:cs="Arial"/>
          <w:sz w:val="22"/>
          <w:szCs w:val="22"/>
        </w:rPr>
        <w:t xml:space="preserve"> </w:t>
      </w:r>
      <w:r w:rsidR="00906AD9">
        <w:rPr>
          <w:rFonts w:ascii="Arial" w:hAnsi="Arial" w:cs="Arial"/>
          <w:sz w:val="22"/>
          <w:szCs w:val="22"/>
        </w:rPr>
        <w:t xml:space="preserve">только </w:t>
      </w:r>
      <w:r>
        <w:rPr>
          <w:rFonts w:ascii="Arial" w:hAnsi="Arial" w:cs="Arial"/>
          <w:sz w:val="22"/>
          <w:szCs w:val="22"/>
        </w:rPr>
        <w:t>в Федеральном законе от 26.12.1995 г. N 208-ФЗ «Об акционерных обществах»</w:t>
      </w:r>
      <w:r w:rsidR="00110688">
        <w:rPr>
          <w:rFonts w:ascii="Arial" w:hAnsi="Arial" w:cs="Arial"/>
          <w:sz w:val="22"/>
          <w:szCs w:val="22"/>
        </w:rPr>
        <w:t xml:space="preserve"> (далее – Закон 208-ФЗ)</w:t>
      </w:r>
      <w:r>
        <w:rPr>
          <w:rFonts w:ascii="Arial" w:hAnsi="Arial" w:cs="Arial"/>
          <w:sz w:val="22"/>
          <w:szCs w:val="22"/>
        </w:rPr>
        <w:t>, тогда как в законодательстве об обществах с ограниченной ответственностью (Федеральный закон от 08.02.1998 г. N 14-ФЗ «Об обществах с ограниченной ответственностью»</w:t>
      </w:r>
      <w:r w:rsidR="00110688">
        <w:rPr>
          <w:rFonts w:ascii="Arial" w:hAnsi="Arial" w:cs="Arial"/>
          <w:sz w:val="22"/>
          <w:szCs w:val="22"/>
        </w:rPr>
        <w:t>, далее – Закон 14-ФЗ</w:t>
      </w:r>
      <w:r>
        <w:rPr>
          <w:rFonts w:ascii="Arial" w:hAnsi="Arial" w:cs="Arial"/>
          <w:sz w:val="22"/>
          <w:szCs w:val="22"/>
        </w:rPr>
        <w:t>) используется термин «</w:t>
      </w:r>
      <w:r w:rsidRPr="002F00B5">
        <w:rPr>
          <w:rFonts w:ascii="Arial" w:hAnsi="Arial" w:cs="Arial"/>
          <w:sz w:val="22"/>
          <w:szCs w:val="22"/>
        </w:rPr>
        <w:t>распределени</w:t>
      </w:r>
      <w:r>
        <w:rPr>
          <w:rFonts w:ascii="Arial" w:hAnsi="Arial" w:cs="Arial"/>
          <w:sz w:val="22"/>
          <w:szCs w:val="22"/>
        </w:rPr>
        <w:t xml:space="preserve">е </w:t>
      </w:r>
      <w:r w:rsidRPr="002F00B5">
        <w:rPr>
          <w:rFonts w:ascii="Arial" w:hAnsi="Arial" w:cs="Arial"/>
          <w:sz w:val="22"/>
          <w:szCs w:val="22"/>
        </w:rPr>
        <w:t>чистой прибыли между участниками</w:t>
      </w:r>
      <w:r>
        <w:rPr>
          <w:rFonts w:ascii="Arial" w:hAnsi="Arial" w:cs="Arial"/>
          <w:sz w:val="22"/>
          <w:szCs w:val="22"/>
        </w:rPr>
        <w:t>»</w:t>
      </w:r>
      <w:r w:rsidR="00110688">
        <w:rPr>
          <w:rFonts w:ascii="Arial" w:hAnsi="Arial" w:cs="Arial"/>
          <w:sz w:val="22"/>
          <w:szCs w:val="22"/>
        </w:rPr>
        <w:t>.</w:t>
      </w:r>
      <w:proofErr w:type="gramEnd"/>
    </w:p>
    <w:p w:rsidR="00110688" w:rsidRDefault="00110688" w:rsidP="00A02AD1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Порядок выплаты дивидендов </w:t>
      </w:r>
      <w:r w:rsidR="00906AD9">
        <w:rPr>
          <w:rFonts w:ascii="Arial" w:hAnsi="Arial" w:cs="Arial"/>
          <w:sz w:val="22"/>
          <w:szCs w:val="22"/>
        </w:rPr>
        <w:t xml:space="preserve">акционерным обществом </w:t>
      </w:r>
      <w:r>
        <w:rPr>
          <w:rFonts w:ascii="Arial" w:hAnsi="Arial" w:cs="Arial"/>
          <w:sz w:val="22"/>
          <w:szCs w:val="22"/>
        </w:rPr>
        <w:t>устанавливается статьей 42 Закона 14-ФЗ, порядок распределения чистой прибыли между участникам</w:t>
      </w:r>
      <w:proofErr w:type="gramStart"/>
      <w:r>
        <w:rPr>
          <w:rFonts w:ascii="Arial" w:hAnsi="Arial" w:cs="Arial"/>
          <w:sz w:val="22"/>
          <w:szCs w:val="22"/>
        </w:rPr>
        <w:t>и ООО</w:t>
      </w:r>
      <w:proofErr w:type="gramEnd"/>
      <w:r>
        <w:rPr>
          <w:rFonts w:ascii="Arial" w:hAnsi="Arial" w:cs="Arial"/>
          <w:sz w:val="22"/>
          <w:szCs w:val="22"/>
        </w:rPr>
        <w:t xml:space="preserve"> – статьей 28 Закона 208-ФЗ.</w:t>
      </w:r>
    </w:p>
    <w:p w:rsidR="00674EDC" w:rsidRDefault="0079293E" w:rsidP="00A02AD1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В том и другом случае общества имеют право принимать решение о выплате дивидендов и распределении чистой прибыли, причем доля распределяемой между акционерами (участниками) чистой прибыли организации, приходящаяся на одну акцию (на одного участника) </w:t>
      </w:r>
      <w:r w:rsidR="006920A9">
        <w:rPr>
          <w:rFonts w:ascii="Arial" w:hAnsi="Arial" w:cs="Arial"/>
          <w:sz w:val="22"/>
          <w:szCs w:val="22"/>
        </w:rPr>
        <w:t xml:space="preserve">в общем случае </w:t>
      </w:r>
      <w:r w:rsidR="00906AD9">
        <w:rPr>
          <w:rFonts w:ascii="Arial" w:hAnsi="Arial" w:cs="Arial"/>
          <w:sz w:val="22"/>
          <w:szCs w:val="22"/>
        </w:rPr>
        <w:t>должна</w:t>
      </w:r>
      <w:r w:rsidR="006920A9">
        <w:rPr>
          <w:rFonts w:ascii="Arial" w:hAnsi="Arial" w:cs="Arial"/>
          <w:sz w:val="22"/>
          <w:szCs w:val="22"/>
        </w:rPr>
        <w:t xml:space="preserve"> быть пропорциональной </w:t>
      </w:r>
      <w:r w:rsidR="00FB0381">
        <w:rPr>
          <w:rFonts w:ascii="Arial" w:hAnsi="Arial" w:cs="Arial"/>
          <w:sz w:val="22"/>
          <w:szCs w:val="22"/>
        </w:rPr>
        <w:t xml:space="preserve">его </w:t>
      </w:r>
      <w:r w:rsidR="006920A9">
        <w:rPr>
          <w:rFonts w:ascii="Arial" w:hAnsi="Arial" w:cs="Arial"/>
          <w:sz w:val="22"/>
          <w:szCs w:val="22"/>
        </w:rPr>
        <w:t>дол</w:t>
      </w:r>
      <w:r w:rsidR="00906AD9">
        <w:rPr>
          <w:rFonts w:ascii="Arial" w:hAnsi="Arial" w:cs="Arial"/>
          <w:sz w:val="22"/>
          <w:szCs w:val="22"/>
        </w:rPr>
        <w:t>е в капитале</w:t>
      </w:r>
      <w:r w:rsidR="006920A9">
        <w:rPr>
          <w:rFonts w:ascii="Arial" w:hAnsi="Arial" w:cs="Arial"/>
          <w:sz w:val="22"/>
          <w:szCs w:val="22"/>
        </w:rPr>
        <w:t>, но, в соответствии с уставом общества, может определяться и в ином порядке, что выражается в различном исчислении</w:t>
      </w:r>
      <w:proofErr w:type="gramEnd"/>
      <w:r w:rsidR="006920A9">
        <w:rPr>
          <w:rFonts w:ascii="Arial" w:hAnsi="Arial" w:cs="Arial"/>
          <w:sz w:val="22"/>
          <w:szCs w:val="22"/>
        </w:rPr>
        <w:t xml:space="preserve"> суммы выплаты для разных категорий акции (АО) или в особо оговоренном процентном соотношении распределяемой прибыли для каждого участника общества (ООО).</w:t>
      </w:r>
      <w:r w:rsidR="00674EDC">
        <w:rPr>
          <w:rFonts w:ascii="Arial" w:hAnsi="Arial" w:cs="Arial"/>
          <w:sz w:val="22"/>
          <w:szCs w:val="22"/>
        </w:rPr>
        <w:t xml:space="preserve"> </w:t>
      </w:r>
    </w:p>
    <w:p w:rsidR="0079293E" w:rsidRDefault="00FB0381" w:rsidP="00A02AD1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Однако</w:t>
      </w:r>
      <w:r w:rsidR="00674EDC">
        <w:rPr>
          <w:rFonts w:ascii="Arial" w:hAnsi="Arial" w:cs="Arial"/>
          <w:sz w:val="22"/>
          <w:szCs w:val="22"/>
        </w:rPr>
        <w:t xml:space="preserve"> приведенная выше формулировка п.1 ст. 43 НК РФ признает в качестве дивиденда только доход, полученный пропорционально доле акционера (участника) в уставном (складочном) капитале организации.</w:t>
      </w:r>
      <w:r w:rsidR="003D6B9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D6B91">
        <w:rPr>
          <w:rFonts w:ascii="Arial" w:hAnsi="Arial" w:cs="Arial"/>
          <w:sz w:val="22"/>
          <w:szCs w:val="22"/>
        </w:rPr>
        <w:t>Это значит, что только к доходу, полученному в соответствии с таким порядком, применяются ставки налогообложения, установленные НК РФ для доходов, полученных в виде дивидендов, а суммы дивидендов, полученные в размерах, превышающих  рассчитанные пропорционально доле акционера (участника), подлежат обложению налогом на прибыль в общем порядке в соответствии с п.1 ст.284 НК РФ.</w:t>
      </w:r>
      <w:proofErr w:type="gramEnd"/>
      <w:r w:rsidR="003D6B91">
        <w:rPr>
          <w:rFonts w:ascii="Arial" w:hAnsi="Arial" w:cs="Arial"/>
          <w:sz w:val="22"/>
          <w:szCs w:val="22"/>
        </w:rPr>
        <w:t xml:space="preserve"> В настоящее время </w:t>
      </w:r>
      <w:r w:rsidR="00906AD9">
        <w:rPr>
          <w:rFonts w:ascii="Arial" w:hAnsi="Arial" w:cs="Arial"/>
          <w:sz w:val="22"/>
          <w:szCs w:val="22"/>
        </w:rPr>
        <w:t>ставка налога на прибыль составляет</w:t>
      </w:r>
      <w:r w:rsidR="003D6B91">
        <w:rPr>
          <w:rFonts w:ascii="Arial" w:hAnsi="Arial" w:cs="Arial"/>
          <w:sz w:val="22"/>
          <w:szCs w:val="22"/>
        </w:rPr>
        <w:t xml:space="preserve"> 20 процентов.</w:t>
      </w:r>
      <w:r w:rsidR="005A3141">
        <w:rPr>
          <w:rFonts w:ascii="Arial" w:hAnsi="Arial" w:cs="Arial"/>
          <w:sz w:val="22"/>
          <w:szCs w:val="22"/>
        </w:rPr>
        <w:t xml:space="preserve"> Такое </w:t>
      </w:r>
      <w:r w:rsidR="00BE0086">
        <w:rPr>
          <w:rFonts w:ascii="Arial" w:hAnsi="Arial" w:cs="Arial"/>
          <w:sz w:val="22"/>
          <w:szCs w:val="22"/>
        </w:rPr>
        <w:t>разъяснение</w:t>
      </w:r>
      <w:r w:rsidR="005A3141">
        <w:rPr>
          <w:rFonts w:ascii="Arial" w:hAnsi="Arial" w:cs="Arial"/>
          <w:sz w:val="22"/>
          <w:szCs w:val="22"/>
        </w:rPr>
        <w:t xml:space="preserve"> содержится в Письме ФНС РФ </w:t>
      </w:r>
      <w:r w:rsidR="005A3141" w:rsidRPr="002F00B5">
        <w:rPr>
          <w:rFonts w:ascii="Arial" w:hAnsi="Arial" w:cs="Arial"/>
          <w:sz w:val="22"/>
          <w:szCs w:val="22"/>
        </w:rPr>
        <w:t>от 16 августа 2012 г. N ЕД-4-3/13610@</w:t>
      </w:r>
      <w:r w:rsidR="005A3141">
        <w:rPr>
          <w:rFonts w:ascii="Arial" w:hAnsi="Arial" w:cs="Arial"/>
          <w:sz w:val="22"/>
          <w:szCs w:val="22"/>
        </w:rPr>
        <w:t>.</w:t>
      </w:r>
    </w:p>
    <w:p w:rsidR="00BD19B6" w:rsidRPr="008F260D" w:rsidRDefault="00BD19B6" w:rsidP="00BD19B6">
      <w:pPr>
        <w:pStyle w:val="consnormal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 о выплате дивидендов акционерного общества (о распределении части прибыли общества, распределяемой между участникам</w:t>
      </w:r>
      <w:proofErr w:type="gramStart"/>
      <w:r>
        <w:rPr>
          <w:rFonts w:ascii="Arial" w:hAnsi="Arial" w:cs="Arial"/>
          <w:sz w:val="22"/>
          <w:szCs w:val="22"/>
        </w:rPr>
        <w:t>и ООО</w:t>
      </w:r>
      <w:proofErr w:type="gramEnd"/>
      <w:r>
        <w:rPr>
          <w:rFonts w:ascii="Arial" w:hAnsi="Arial" w:cs="Arial"/>
          <w:sz w:val="22"/>
          <w:szCs w:val="22"/>
        </w:rPr>
        <w:t xml:space="preserve">) принимается общим собранием акционеров (участников общества) по результатам каждого квартала, полугодия, девяти месяцев или года. </w:t>
      </w:r>
      <w:r w:rsidR="00543D93">
        <w:rPr>
          <w:rFonts w:ascii="Arial" w:hAnsi="Arial" w:cs="Arial"/>
          <w:sz w:val="22"/>
          <w:szCs w:val="22"/>
        </w:rPr>
        <w:t>Общее собрание устанавливает также срок и порядок выплаты.</w:t>
      </w:r>
    </w:p>
    <w:p w:rsidR="00A02AD1" w:rsidRDefault="00543D93" w:rsidP="00BC35C6">
      <w:pPr>
        <w:ind w:firstLine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Законодательством установлен </w:t>
      </w:r>
      <w:r w:rsidR="00BE0086">
        <w:rPr>
          <w:rFonts w:ascii="Arial" w:hAnsi="Arial" w:cs="Arial"/>
          <w:sz w:val="22"/>
          <w:szCs w:val="22"/>
        </w:rPr>
        <w:t xml:space="preserve">ряд </w:t>
      </w:r>
      <w:r>
        <w:rPr>
          <w:rFonts w:ascii="Arial" w:hAnsi="Arial" w:cs="Arial"/>
          <w:sz w:val="22"/>
          <w:szCs w:val="22"/>
        </w:rPr>
        <w:t>ограничени</w:t>
      </w:r>
      <w:r w:rsidR="00BE0086"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 xml:space="preserve"> на выплату дивидендов и распределение прибыли.</w:t>
      </w:r>
    </w:p>
    <w:p w:rsidR="00BC35C6" w:rsidRDefault="00543D93" w:rsidP="00BC35C6">
      <w:pPr>
        <w:ind w:firstLine="3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Как ОАО, так и ООО не вправе принимать решение о выплате дивидендов и части прибыли до полной оплаты всего уставного капитала АО (п. 1 ст. 43 Закона 14-ФЗ) или ООО (п. 1 ст. 29 </w:t>
      </w:r>
      <w:r w:rsidRPr="00BC35C6">
        <w:rPr>
          <w:rFonts w:ascii="Arial" w:hAnsi="Arial" w:cs="Arial"/>
          <w:sz w:val="22"/>
          <w:szCs w:val="22"/>
        </w:rPr>
        <w:t xml:space="preserve">Закона 208-ФЗ), до </w:t>
      </w:r>
      <w:r w:rsidR="00BC35C6" w:rsidRPr="00BC35C6">
        <w:rPr>
          <w:rFonts w:ascii="Arial" w:hAnsi="Arial" w:cs="Arial"/>
          <w:sz w:val="22"/>
          <w:szCs w:val="22"/>
        </w:rPr>
        <w:t xml:space="preserve">выкупа всех акций, которые должны быть выкуплены в соответствии со </w:t>
      </w:r>
      <w:r w:rsidR="00BC35C6">
        <w:rPr>
          <w:rFonts w:ascii="Arial" w:hAnsi="Arial" w:cs="Arial"/>
          <w:sz w:val="22"/>
          <w:szCs w:val="22"/>
        </w:rPr>
        <w:t>ст. 76 Закона 14-ФЗ и до выплаты действительной стоимости или части доли участника</w:t>
      </w:r>
      <w:proofErr w:type="gramEnd"/>
      <w:r w:rsidR="00BC35C6">
        <w:rPr>
          <w:rFonts w:ascii="Arial" w:hAnsi="Arial" w:cs="Arial"/>
          <w:sz w:val="22"/>
          <w:szCs w:val="22"/>
        </w:rPr>
        <w:t xml:space="preserve"> ООО, а также в случаях, если на момент принятия решения:</w:t>
      </w:r>
    </w:p>
    <w:p w:rsidR="00BC35C6" w:rsidRDefault="00BC35C6" w:rsidP="00BC35C6">
      <w:pPr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общество отвечает признакам несостоятельности (банкротства) или если указанные признаки появятся в результате принятия такого решения, </w:t>
      </w:r>
    </w:p>
    <w:p w:rsidR="00BC35C6" w:rsidRDefault="00BC35C6" w:rsidP="00BC35C6">
      <w:pPr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если стоимость чистых активов общества меньше его уставного капитала и резервного фонда или станет меньше их размера в результате принятия решения о выплатах,</w:t>
      </w:r>
    </w:p>
    <w:p w:rsidR="00BC35C6" w:rsidRDefault="00BC35C6" w:rsidP="00BC35C6">
      <w:pPr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 иных случаях, предусмотренных федеральными законами.</w:t>
      </w:r>
    </w:p>
    <w:p w:rsidR="00C31857" w:rsidRDefault="00C31857" w:rsidP="00BC35C6">
      <w:pPr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Указанные положения распространяются на выплаты всем акционерам (участникам общества), независимо от того, являются они резидентами РФ или нет.</w:t>
      </w:r>
    </w:p>
    <w:p w:rsidR="00C31857" w:rsidRDefault="00C31857" w:rsidP="00C318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положениями налогового законодательства общество, выплачивающее дивиденды российской или иностранной организации, признается налоговым агентом</w:t>
      </w:r>
      <w:r w:rsidR="00E434DA">
        <w:rPr>
          <w:rFonts w:ascii="Arial" w:hAnsi="Arial" w:cs="Arial"/>
          <w:sz w:val="22"/>
          <w:szCs w:val="22"/>
        </w:rPr>
        <w:t xml:space="preserve"> по исчислению и уплате в бюджет налога на прибыль</w:t>
      </w:r>
      <w:r>
        <w:rPr>
          <w:rFonts w:ascii="Arial" w:hAnsi="Arial" w:cs="Arial"/>
          <w:sz w:val="22"/>
          <w:szCs w:val="22"/>
        </w:rPr>
        <w:t>.</w:t>
      </w:r>
    </w:p>
    <w:p w:rsidR="00C31857" w:rsidRDefault="00C31857" w:rsidP="00C318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Налоговый агент - это лицо, на которое в соответствии с Налоговым кодексом РФ возложены обязанности по исчислению, удержанию у налогоплательщика и перечислению в соответствующий бюджет (внебюджетный фонд) налогов (п. 1 ст. 24 НК РФ). Следовательно, по общему правилу при выплате дивидендов </w:t>
      </w:r>
      <w:r w:rsidR="00E434DA">
        <w:rPr>
          <w:rFonts w:ascii="Arial" w:hAnsi="Arial" w:cs="Arial"/>
          <w:sz w:val="22"/>
          <w:szCs w:val="22"/>
        </w:rPr>
        <w:t>акционеру (участнику) общество</w:t>
      </w:r>
      <w:r>
        <w:rPr>
          <w:rFonts w:ascii="Arial" w:hAnsi="Arial" w:cs="Arial"/>
          <w:sz w:val="22"/>
          <w:szCs w:val="22"/>
        </w:rPr>
        <w:t xml:space="preserve"> должн</w:t>
      </w:r>
      <w:r w:rsidR="00E434DA"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z w:val="22"/>
          <w:szCs w:val="22"/>
        </w:rPr>
        <w:t xml:space="preserve"> исчислить, удержать и перечислить в бюджет соответствующую сумму налога (п. 3 ст. 275 НК РФ).</w:t>
      </w:r>
    </w:p>
    <w:p w:rsidR="00C31857" w:rsidRDefault="00E434DA" w:rsidP="00C318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C31857">
        <w:rPr>
          <w:rFonts w:ascii="Arial" w:hAnsi="Arial" w:cs="Arial"/>
          <w:sz w:val="22"/>
          <w:szCs w:val="22"/>
        </w:rPr>
        <w:t xml:space="preserve"> Налоговом кодексе РФ установлен перечень российских организаций, которые при выплате (перечислении) иностранной организации доходов в виде дивидендов по акциям, выпущенным российской организацией, признаются налоговыми агентами.</w:t>
      </w:r>
    </w:p>
    <w:p w:rsidR="00C31857" w:rsidRDefault="00E434DA" w:rsidP="002C26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п. 7 ст. 275 НК РФ помимо р</w:t>
      </w:r>
      <w:r w:rsidR="00C31857">
        <w:rPr>
          <w:rFonts w:ascii="Arial" w:hAnsi="Arial" w:cs="Arial"/>
          <w:sz w:val="22"/>
          <w:szCs w:val="22"/>
        </w:rPr>
        <w:t>оссийск</w:t>
      </w:r>
      <w:r>
        <w:rPr>
          <w:rFonts w:ascii="Arial" w:hAnsi="Arial" w:cs="Arial"/>
          <w:sz w:val="22"/>
          <w:szCs w:val="22"/>
        </w:rPr>
        <w:t>их</w:t>
      </w:r>
      <w:r w:rsidR="00C31857">
        <w:rPr>
          <w:rFonts w:ascii="Arial" w:hAnsi="Arial" w:cs="Arial"/>
          <w:sz w:val="22"/>
          <w:szCs w:val="22"/>
        </w:rPr>
        <w:t xml:space="preserve"> организаци</w:t>
      </w:r>
      <w:r>
        <w:rPr>
          <w:rFonts w:ascii="Arial" w:hAnsi="Arial" w:cs="Arial"/>
          <w:sz w:val="22"/>
          <w:szCs w:val="22"/>
        </w:rPr>
        <w:t>й</w:t>
      </w:r>
      <w:r w:rsidR="00C31857">
        <w:rPr>
          <w:rFonts w:ascii="Arial" w:hAnsi="Arial" w:cs="Arial"/>
          <w:sz w:val="22"/>
          <w:szCs w:val="22"/>
        </w:rPr>
        <w:t>, осуществляющ</w:t>
      </w:r>
      <w:r>
        <w:rPr>
          <w:rFonts w:ascii="Arial" w:hAnsi="Arial" w:cs="Arial"/>
          <w:sz w:val="22"/>
          <w:szCs w:val="22"/>
        </w:rPr>
        <w:t xml:space="preserve">их выплату дивидендов </w:t>
      </w:r>
      <w:r w:rsidR="00C31857">
        <w:rPr>
          <w:rFonts w:ascii="Arial" w:hAnsi="Arial" w:cs="Arial"/>
          <w:sz w:val="22"/>
          <w:szCs w:val="22"/>
        </w:rPr>
        <w:t>иностранным организациям</w:t>
      </w:r>
      <w:r>
        <w:rPr>
          <w:rFonts w:ascii="Arial" w:hAnsi="Arial" w:cs="Arial"/>
          <w:sz w:val="22"/>
          <w:szCs w:val="22"/>
        </w:rPr>
        <w:t>, к налоговым агентам отнесены также доверительные управляющие и депозитарии при выплате доходов в виде дивидендов по акциям</w:t>
      </w:r>
      <w:r w:rsidR="002C2644">
        <w:rPr>
          <w:rFonts w:ascii="Arial" w:hAnsi="Arial" w:cs="Arial"/>
          <w:sz w:val="22"/>
          <w:szCs w:val="22"/>
        </w:rPr>
        <w:t xml:space="preserve"> в случаях и на условиях, оговоренных данным пунктом</w:t>
      </w:r>
      <w:r w:rsidR="00906AD9">
        <w:rPr>
          <w:rFonts w:ascii="Arial" w:hAnsi="Arial" w:cs="Arial"/>
          <w:sz w:val="22"/>
          <w:szCs w:val="22"/>
        </w:rPr>
        <w:t xml:space="preserve"> кодекса</w:t>
      </w:r>
      <w:r>
        <w:rPr>
          <w:rFonts w:ascii="Arial" w:hAnsi="Arial" w:cs="Arial"/>
          <w:sz w:val="22"/>
          <w:szCs w:val="22"/>
        </w:rPr>
        <w:t>.</w:t>
      </w:r>
    </w:p>
    <w:p w:rsidR="002C2644" w:rsidRDefault="002C2644" w:rsidP="002C26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Ст. 284 НК РФ устанавливает, что к налоговой базе, определяемой по доходам, полученным иностранной организацией в виде дивидендов по акциям российских организаций, а также дивидендов от участия в капитале организации в иной форме применяется налоговая ставка 15 процентов (</w:t>
      </w:r>
      <w:proofErr w:type="spellStart"/>
      <w:r>
        <w:rPr>
          <w:rFonts w:ascii="Arial" w:hAnsi="Arial" w:cs="Arial"/>
          <w:sz w:val="22"/>
          <w:szCs w:val="22"/>
        </w:rPr>
        <w:t>пп</w:t>
      </w:r>
      <w:proofErr w:type="spellEnd"/>
      <w:r>
        <w:rPr>
          <w:rFonts w:ascii="Arial" w:hAnsi="Arial" w:cs="Arial"/>
          <w:sz w:val="22"/>
          <w:szCs w:val="22"/>
        </w:rPr>
        <w:t xml:space="preserve"> 3 п. 3).</w:t>
      </w:r>
    </w:p>
    <w:p w:rsidR="00E23311" w:rsidRPr="00E23311" w:rsidRDefault="002C2644" w:rsidP="00E233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23311">
        <w:rPr>
          <w:rFonts w:ascii="Arial" w:hAnsi="Arial" w:cs="Arial"/>
          <w:sz w:val="22"/>
          <w:szCs w:val="22"/>
        </w:rPr>
        <w:t xml:space="preserve">При этом налоговая база налогоплательщика - получателя дивидендов по каждой такой выплате определяется как сумма выплачиваемых дивидендов и к ней применяются налоговые ставки, установленные </w:t>
      </w:r>
      <w:hyperlink r:id="rId7" w:history="1">
        <w:proofErr w:type="spellStart"/>
        <w:r w:rsidR="00E23311" w:rsidRPr="00E23311">
          <w:rPr>
            <w:rFonts w:ascii="Arial" w:hAnsi="Arial" w:cs="Arial"/>
            <w:sz w:val="22"/>
            <w:szCs w:val="22"/>
          </w:rPr>
          <w:t>пп</w:t>
        </w:r>
        <w:proofErr w:type="spellEnd"/>
        <w:r w:rsidR="00E23311" w:rsidRPr="00E23311">
          <w:rPr>
            <w:rFonts w:ascii="Arial" w:hAnsi="Arial" w:cs="Arial"/>
            <w:sz w:val="22"/>
            <w:szCs w:val="22"/>
          </w:rPr>
          <w:t xml:space="preserve"> 3, п. 3 ст. 284 НК РФ,</w:t>
        </w:r>
      </w:hyperlink>
      <w:r w:rsidR="00E23311" w:rsidRPr="00E23311">
        <w:rPr>
          <w:rFonts w:ascii="Arial" w:hAnsi="Arial" w:cs="Arial"/>
          <w:sz w:val="22"/>
          <w:szCs w:val="22"/>
        </w:rPr>
        <w:t xml:space="preserve"> если иные ставки не предусмотрены международным </w:t>
      </w:r>
      <w:hyperlink r:id="rId8" w:history="1">
        <w:r w:rsidR="00E23311" w:rsidRPr="00E23311">
          <w:rPr>
            <w:rFonts w:ascii="Arial" w:hAnsi="Arial" w:cs="Arial"/>
            <w:sz w:val="22"/>
            <w:szCs w:val="22"/>
          </w:rPr>
          <w:t>договором</w:t>
        </w:r>
      </w:hyperlink>
      <w:r w:rsidR="00E23311" w:rsidRPr="00E23311">
        <w:rPr>
          <w:rFonts w:ascii="Arial" w:hAnsi="Arial" w:cs="Arial"/>
          <w:sz w:val="22"/>
          <w:szCs w:val="22"/>
        </w:rPr>
        <w:t xml:space="preserve"> Российской Федерации, регулирующим вопросы налогообложения.</w:t>
      </w:r>
    </w:p>
    <w:p w:rsidR="00E23311" w:rsidRDefault="00E23311" w:rsidP="00E233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Имеется в виду, что, если между РФ и государством, резидентом которого является иностранная организация, заключено международное соглашение об </w:t>
      </w:r>
      <w:proofErr w:type="spellStart"/>
      <w:r>
        <w:rPr>
          <w:rFonts w:ascii="Arial" w:hAnsi="Arial" w:cs="Arial"/>
          <w:sz w:val="22"/>
          <w:szCs w:val="22"/>
        </w:rPr>
        <w:t>избежании</w:t>
      </w:r>
      <w:proofErr w:type="spellEnd"/>
      <w:r>
        <w:rPr>
          <w:rFonts w:ascii="Arial" w:hAnsi="Arial" w:cs="Arial"/>
          <w:sz w:val="22"/>
          <w:szCs w:val="22"/>
        </w:rPr>
        <w:t xml:space="preserve"> двойного налогообложения, то в силу ст. 7 НК РФ применяются правила и нормы международного договора.</w:t>
      </w:r>
    </w:p>
    <w:p w:rsidR="00E23311" w:rsidRDefault="00E23311" w:rsidP="00E233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Такими соглашениями может быть предусмотрено налогообложение дивидендов в РФ по налоговым ставкам ниже 15%. В этом случае при исчислении налога организация вправе использовать ставку, установленную соглашением. Если условиями международного договора предусмотрено, что данный вид дохода не облагается налогом в РФ, то, соответственно, обязанности по удержанию налога у российской организации не возникает.</w:t>
      </w:r>
    </w:p>
    <w:p w:rsidR="00612B94" w:rsidRDefault="00612B94" w:rsidP="00E2331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Например, в своем письме </w:t>
      </w:r>
      <w:r w:rsidRPr="002F00B5">
        <w:rPr>
          <w:rFonts w:ascii="Arial" w:hAnsi="Arial" w:cs="Arial"/>
          <w:sz w:val="22"/>
          <w:szCs w:val="22"/>
        </w:rPr>
        <w:t>от 7 марта 2014 г. № 03-08-РЗ/10213</w:t>
      </w:r>
      <w:r>
        <w:rPr>
          <w:rFonts w:ascii="Arial" w:hAnsi="Arial" w:cs="Arial"/>
          <w:sz w:val="22"/>
          <w:szCs w:val="22"/>
        </w:rPr>
        <w:t xml:space="preserve"> Минфин РФ по поводу налогообложения дивидендов,  выплачиваемых в адрес итальянской организации, указывает, что</w:t>
      </w:r>
      <w:r w:rsidRPr="0007451A">
        <w:rPr>
          <w:rFonts w:ascii="Arial" w:hAnsi="Arial" w:cs="Arial"/>
          <w:sz w:val="22"/>
          <w:szCs w:val="22"/>
        </w:rPr>
        <w:t xml:space="preserve"> в соответствии с </w:t>
      </w:r>
      <w:proofErr w:type="spellStart"/>
      <w:r w:rsidRPr="0007451A">
        <w:rPr>
          <w:rFonts w:ascii="Arial" w:hAnsi="Arial" w:cs="Arial"/>
          <w:sz w:val="22"/>
          <w:szCs w:val="22"/>
        </w:rPr>
        <w:t>пп</w:t>
      </w:r>
      <w:proofErr w:type="spellEnd"/>
      <w:r w:rsidRPr="0007451A">
        <w:rPr>
          <w:rFonts w:ascii="Arial" w:hAnsi="Arial" w:cs="Arial"/>
          <w:sz w:val="22"/>
          <w:szCs w:val="22"/>
        </w:rPr>
        <w:t xml:space="preserve">. "a" п. 2 ст. 10 Конвенции между Правительством Российской Федерации и Правительством Итальянской Республики об </w:t>
      </w:r>
      <w:proofErr w:type="spellStart"/>
      <w:r w:rsidRPr="0007451A">
        <w:rPr>
          <w:rFonts w:ascii="Arial" w:hAnsi="Arial" w:cs="Arial"/>
          <w:sz w:val="22"/>
          <w:szCs w:val="22"/>
        </w:rPr>
        <w:t>избежании</w:t>
      </w:r>
      <w:proofErr w:type="spellEnd"/>
      <w:r w:rsidRPr="0007451A">
        <w:rPr>
          <w:rFonts w:ascii="Arial" w:hAnsi="Arial" w:cs="Arial"/>
          <w:sz w:val="22"/>
          <w:szCs w:val="22"/>
        </w:rPr>
        <w:t xml:space="preserve"> двойного налогообложения в отношении налогов на доходы и капитал и предотвращении уклонения от налогообложения от 09.04.1996</w:t>
      </w:r>
      <w:proofErr w:type="gramEnd"/>
      <w:r w:rsidRPr="000745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Pr="0007451A">
        <w:rPr>
          <w:rFonts w:ascii="Arial" w:hAnsi="Arial" w:cs="Arial"/>
          <w:sz w:val="22"/>
          <w:szCs w:val="22"/>
        </w:rPr>
        <w:t xml:space="preserve">ониженная ставка 5 процентов от общей суммы дивидендов применяется при соблюдении условия, если лицом, владеющим правом собственности на дивиденды, является компания, которая прямо </w:t>
      </w:r>
      <w:proofErr w:type="gramStart"/>
      <w:r w:rsidRPr="0007451A">
        <w:rPr>
          <w:rFonts w:ascii="Arial" w:hAnsi="Arial" w:cs="Arial"/>
          <w:sz w:val="22"/>
          <w:szCs w:val="22"/>
        </w:rPr>
        <w:t>владеет</w:t>
      </w:r>
      <w:proofErr w:type="gramEnd"/>
      <w:r w:rsidRPr="0007451A">
        <w:rPr>
          <w:rFonts w:ascii="Arial" w:hAnsi="Arial" w:cs="Arial"/>
          <w:sz w:val="22"/>
          <w:szCs w:val="22"/>
        </w:rPr>
        <w:t xml:space="preserve"> по крайней мере 10 процентами капитала компании, выплачивающей дивиденды (такое участие должно составлять по крайней мере 100 000 долл. США или эквивалентную сумму в другой валюте).</w:t>
      </w:r>
      <w:r>
        <w:rPr>
          <w:rFonts w:ascii="Arial" w:hAnsi="Arial" w:cs="Arial"/>
          <w:sz w:val="22"/>
          <w:szCs w:val="22"/>
        </w:rPr>
        <w:t xml:space="preserve"> </w:t>
      </w:r>
      <w:r w:rsidRPr="0007451A">
        <w:rPr>
          <w:rFonts w:ascii="Arial" w:hAnsi="Arial" w:cs="Arial"/>
          <w:sz w:val="22"/>
          <w:szCs w:val="22"/>
        </w:rPr>
        <w:t>В остальных случаях применяется ставка 10 процентов.</w:t>
      </w:r>
    </w:p>
    <w:p w:rsidR="009F57A7" w:rsidRDefault="009F57A7" w:rsidP="009F57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применения положений международного договора от иностранной организации </w:t>
      </w:r>
      <w:r w:rsidR="00612B94">
        <w:rPr>
          <w:rFonts w:ascii="Arial" w:hAnsi="Arial" w:cs="Arial"/>
          <w:sz w:val="22"/>
          <w:szCs w:val="22"/>
        </w:rPr>
        <w:t xml:space="preserve">необходимо получить </w:t>
      </w:r>
      <w:r>
        <w:rPr>
          <w:rFonts w:ascii="Arial" w:hAnsi="Arial" w:cs="Arial"/>
          <w:sz w:val="22"/>
          <w:szCs w:val="22"/>
        </w:rPr>
        <w:t>подтверждение того, что она имеет постоянное местонахождение в том государстве, с которым РФ имеет международный договор. Подтверждение должно быть заверено компетентным органом соответствующего иностранного государства и, если оно составлено на иностранном языке, переведено на русский язык (п. 1 ст. 312 НК РФ).</w:t>
      </w:r>
    </w:p>
    <w:p w:rsidR="002C2644" w:rsidRDefault="005A3141" w:rsidP="002C26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Но дивидендный доход нерезидента </w:t>
      </w:r>
      <w:r w:rsidR="00211F4F">
        <w:rPr>
          <w:rFonts w:ascii="Arial" w:hAnsi="Arial" w:cs="Arial"/>
          <w:sz w:val="22"/>
          <w:szCs w:val="22"/>
        </w:rPr>
        <w:t xml:space="preserve">может </w:t>
      </w:r>
      <w:r>
        <w:rPr>
          <w:rFonts w:ascii="Arial" w:hAnsi="Arial" w:cs="Arial"/>
          <w:sz w:val="22"/>
          <w:szCs w:val="22"/>
        </w:rPr>
        <w:t>облагат</w:t>
      </w:r>
      <w:r w:rsidR="00211F4F">
        <w:rPr>
          <w:rFonts w:ascii="Arial" w:hAnsi="Arial" w:cs="Arial"/>
          <w:sz w:val="22"/>
          <w:szCs w:val="22"/>
        </w:rPr>
        <w:t>ь</w:t>
      </w:r>
      <w:r>
        <w:rPr>
          <w:rFonts w:ascii="Arial" w:hAnsi="Arial" w:cs="Arial"/>
          <w:sz w:val="22"/>
          <w:szCs w:val="22"/>
        </w:rPr>
        <w:t xml:space="preserve">ся </w:t>
      </w:r>
      <w:r w:rsidR="00211F4F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>по ставке 30%.</w:t>
      </w:r>
    </w:p>
    <w:p w:rsidR="005A3141" w:rsidRDefault="00211F4F" w:rsidP="002C26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Такая ставка установлена п. 4.2 ст. 284 НК РФ и </w:t>
      </w:r>
      <w:r w:rsidR="005A3141">
        <w:rPr>
          <w:rFonts w:ascii="Arial" w:hAnsi="Arial" w:cs="Arial"/>
          <w:sz w:val="22"/>
          <w:szCs w:val="22"/>
        </w:rPr>
        <w:t>применяется в случае, когда д</w:t>
      </w:r>
      <w:r w:rsidR="005A3141" w:rsidRPr="00AD0849">
        <w:rPr>
          <w:rFonts w:ascii="Arial" w:hAnsi="Arial" w:cs="Arial"/>
          <w:sz w:val="22"/>
          <w:szCs w:val="22"/>
        </w:rPr>
        <w:t xml:space="preserve">ивиденды выплачиваются по ценным бумагам, которые учитываются в российском депозитарии на счете иностранной организации, действующей в интересах третьих лиц, например, на счете депо иностранного депозитария. И при этом этот иностранный депозитарий не раскрыл налоговому агенту даже обобщенную информацию о лицах, которые осуществляют права по ценным </w:t>
      </w:r>
      <w:r w:rsidR="005A3141" w:rsidRPr="00AD0849">
        <w:rPr>
          <w:rFonts w:ascii="Arial" w:hAnsi="Arial" w:cs="Arial"/>
          <w:sz w:val="22"/>
          <w:szCs w:val="22"/>
        </w:rPr>
        <w:lastRenderedPageBreak/>
        <w:t>бумагам. Если информация представлена, то ставка 30% не применяется, а применяется та ставка, которая не требует соблюдения каких-либо дополнительных условий</w:t>
      </w:r>
      <w:r w:rsidR="00167132">
        <w:rPr>
          <w:rFonts w:ascii="Arial" w:hAnsi="Arial" w:cs="Arial"/>
          <w:sz w:val="22"/>
          <w:szCs w:val="22"/>
        </w:rPr>
        <w:t xml:space="preserve">, например, 15 процентов или та, которая установлена международным соглашением об </w:t>
      </w:r>
      <w:proofErr w:type="spellStart"/>
      <w:r w:rsidR="00167132">
        <w:rPr>
          <w:rFonts w:ascii="Arial" w:hAnsi="Arial" w:cs="Arial"/>
          <w:sz w:val="22"/>
          <w:szCs w:val="22"/>
        </w:rPr>
        <w:t>избежании</w:t>
      </w:r>
      <w:proofErr w:type="spellEnd"/>
      <w:r w:rsidR="00167132">
        <w:rPr>
          <w:rFonts w:ascii="Arial" w:hAnsi="Arial" w:cs="Arial"/>
          <w:sz w:val="22"/>
          <w:szCs w:val="22"/>
        </w:rPr>
        <w:t xml:space="preserve"> двойного налогообложения</w:t>
      </w:r>
      <w:r w:rsidR="005A3141" w:rsidRPr="00AD0849">
        <w:rPr>
          <w:rFonts w:ascii="Arial" w:hAnsi="Arial" w:cs="Arial"/>
          <w:sz w:val="22"/>
          <w:szCs w:val="22"/>
        </w:rPr>
        <w:t>.</w:t>
      </w:r>
      <w:r w:rsidR="005A3141">
        <w:rPr>
          <w:rFonts w:ascii="Arial" w:hAnsi="Arial" w:cs="Arial"/>
          <w:sz w:val="22"/>
          <w:szCs w:val="22"/>
        </w:rPr>
        <w:t xml:space="preserve"> </w:t>
      </w:r>
    </w:p>
    <w:p w:rsidR="00211F4F" w:rsidRDefault="00211F4F" w:rsidP="002C264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Очевидно, что введение ставки 30% имело целью повысить прозрачность привлечения зарубежных инвестиций российскими организациями</w:t>
      </w:r>
      <w:r w:rsidR="00BE0086">
        <w:rPr>
          <w:rFonts w:ascii="Arial" w:hAnsi="Arial" w:cs="Arial"/>
          <w:sz w:val="22"/>
          <w:szCs w:val="22"/>
        </w:rPr>
        <w:t>, стимулируя раскрыти</w:t>
      </w:r>
      <w:r w:rsidR="00906AD9">
        <w:rPr>
          <w:rFonts w:ascii="Arial" w:hAnsi="Arial" w:cs="Arial"/>
          <w:sz w:val="22"/>
          <w:szCs w:val="22"/>
        </w:rPr>
        <w:t>е</w:t>
      </w:r>
      <w:r w:rsidR="00BE0086">
        <w:rPr>
          <w:rFonts w:ascii="Arial" w:hAnsi="Arial" w:cs="Arial"/>
          <w:sz w:val="22"/>
          <w:szCs w:val="22"/>
        </w:rPr>
        <w:t xml:space="preserve"> информации об иностранных организациях-получателях дивидендных доходов</w:t>
      </w:r>
      <w:r w:rsidR="00FF557A">
        <w:rPr>
          <w:rFonts w:ascii="Arial" w:hAnsi="Arial" w:cs="Arial"/>
          <w:sz w:val="22"/>
          <w:szCs w:val="22"/>
        </w:rPr>
        <w:t xml:space="preserve"> </w:t>
      </w:r>
      <w:r w:rsidR="00FF557A" w:rsidRPr="00AD0849">
        <w:rPr>
          <w:rFonts w:ascii="Arial" w:hAnsi="Arial" w:cs="Arial"/>
          <w:sz w:val="22"/>
          <w:szCs w:val="22"/>
        </w:rPr>
        <w:t>(конечных бенефициарах)</w:t>
      </w:r>
      <w:r w:rsidR="00BE0086">
        <w:rPr>
          <w:rFonts w:ascii="Arial" w:hAnsi="Arial" w:cs="Arial"/>
          <w:sz w:val="22"/>
          <w:szCs w:val="22"/>
        </w:rPr>
        <w:t>.</w:t>
      </w:r>
    </w:p>
    <w:p w:rsidR="00904D02" w:rsidRDefault="00904D02" w:rsidP="00904D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Удержанный налог на прибыль необходимо перечислить в бюджет не позднее дня, следующего за днем выплаты дивидендов, независимо от того, какой организации (российской или иностранной) выплачиваются дивиденды (п. 6 ст. 6.1, п. п. 2, 4 ст. 287, </w:t>
      </w:r>
      <w:proofErr w:type="spellStart"/>
      <w:r>
        <w:rPr>
          <w:rFonts w:ascii="Arial" w:hAnsi="Arial" w:cs="Arial"/>
          <w:sz w:val="22"/>
          <w:szCs w:val="22"/>
        </w:rPr>
        <w:t>абз</w:t>
      </w:r>
      <w:proofErr w:type="spellEnd"/>
      <w:r>
        <w:rPr>
          <w:rFonts w:ascii="Arial" w:hAnsi="Arial" w:cs="Arial"/>
          <w:sz w:val="22"/>
          <w:szCs w:val="22"/>
        </w:rPr>
        <w:t xml:space="preserve">. 7 п. 1 ст. 310 НК РФ). Исключение составляет порядок уплаты налога с доходов в виде дивидендов по ценным бумагам российских организаций, учитываемым на счетах депо иностранного номинального держателя, иностранного уполномоченного держателя и (или) депозитарных программ. Налог с дивидендов по указанным ценным бумагам налоговый агент обязан уплатить в бюджет на 30-й день </w:t>
      </w:r>
      <w:proofErr w:type="gramStart"/>
      <w:r>
        <w:rPr>
          <w:rFonts w:ascii="Arial" w:hAnsi="Arial" w:cs="Arial"/>
          <w:sz w:val="22"/>
          <w:szCs w:val="22"/>
        </w:rPr>
        <w:t>с даты</w:t>
      </w:r>
      <w:proofErr w:type="gramEnd"/>
      <w:r>
        <w:rPr>
          <w:rFonts w:ascii="Arial" w:hAnsi="Arial" w:cs="Arial"/>
          <w:sz w:val="22"/>
          <w:szCs w:val="22"/>
        </w:rPr>
        <w:t xml:space="preserve"> его исчисления (п. 11 ст. 310.1 НК РФ).</w:t>
      </w:r>
    </w:p>
    <w:p w:rsidR="00612B94" w:rsidRDefault="00612B94" w:rsidP="00904D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612B94" w:rsidRDefault="00612B94" w:rsidP="00904D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Ушаков</w:t>
      </w:r>
    </w:p>
    <w:p w:rsidR="00904D02" w:rsidRDefault="00904D02" w:rsidP="00904D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sectPr w:rsidR="00904D02" w:rsidSect="000745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411A"/>
    <w:multiLevelType w:val="multilevel"/>
    <w:tmpl w:val="8C88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3234D"/>
    <w:multiLevelType w:val="multilevel"/>
    <w:tmpl w:val="0BD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86611"/>
    <w:multiLevelType w:val="multilevel"/>
    <w:tmpl w:val="AB86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F3933"/>
    <w:multiLevelType w:val="multilevel"/>
    <w:tmpl w:val="B91AA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069F3"/>
    <w:multiLevelType w:val="multilevel"/>
    <w:tmpl w:val="B9D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169"/>
    <w:rsid w:val="00001057"/>
    <w:rsid w:val="0007451A"/>
    <w:rsid w:val="000B61DD"/>
    <w:rsid w:val="00110688"/>
    <w:rsid w:val="00167132"/>
    <w:rsid w:val="00181DB7"/>
    <w:rsid w:val="001E2993"/>
    <w:rsid w:val="00211F4F"/>
    <w:rsid w:val="00255457"/>
    <w:rsid w:val="00263169"/>
    <w:rsid w:val="002C2644"/>
    <w:rsid w:val="002F00B5"/>
    <w:rsid w:val="00302DF7"/>
    <w:rsid w:val="003D6B91"/>
    <w:rsid w:val="00543D93"/>
    <w:rsid w:val="005A0361"/>
    <w:rsid w:val="005A24F8"/>
    <w:rsid w:val="005A3141"/>
    <w:rsid w:val="00612B94"/>
    <w:rsid w:val="00674EDC"/>
    <w:rsid w:val="006920A9"/>
    <w:rsid w:val="00730703"/>
    <w:rsid w:val="007530B2"/>
    <w:rsid w:val="0079293E"/>
    <w:rsid w:val="008A3FEF"/>
    <w:rsid w:val="008F1917"/>
    <w:rsid w:val="008F260D"/>
    <w:rsid w:val="008F44AA"/>
    <w:rsid w:val="00904D02"/>
    <w:rsid w:val="00906AD9"/>
    <w:rsid w:val="00987379"/>
    <w:rsid w:val="009F57A7"/>
    <w:rsid w:val="00A02AD1"/>
    <w:rsid w:val="00A355BA"/>
    <w:rsid w:val="00AD0849"/>
    <w:rsid w:val="00AF5FE0"/>
    <w:rsid w:val="00B63366"/>
    <w:rsid w:val="00BC35C6"/>
    <w:rsid w:val="00BD19B6"/>
    <w:rsid w:val="00BE0086"/>
    <w:rsid w:val="00BF7DE0"/>
    <w:rsid w:val="00C037B2"/>
    <w:rsid w:val="00C31857"/>
    <w:rsid w:val="00C601C5"/>
    <w:rsid w:val="00CA2934"/>
    <w:rsid w:val="00D67604"/>
    <w:rsid w:val="00E23311"/>
    <w:rsid w:val="00E42DA6"/>
    <w:rsid w:val="00E434DA"/>
    <w:rsid w:val="00E755C9"/>
    <w:rsid w:val="00EA3B40"/>
    <w:rsid w:val="00EF64B9"/>
    <w:rsid w:val="00FB038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B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45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AF5F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я"/>
    <w:basedOn w:val="a"/>
    <w:qFormat/>
    <w:rsid w:val="00C037B2"/>
    <w:pPr>
      <w:shd w:val="clear" w:color="auto" w:fill="FFFF00"/>
    </w:pPr>
  </w:style>
  <w:style w:type="paragraph" w:customStyle="1" w:styleId="a4">
    <w:name w:val="Рома"/>
    <w:basedOn w:val="a3"/>
    <w:qFormat/>
    <w:rsid w:val="00C037B2"/>
    <w:pPr>
      <w:shd w:val="clear" w:color="auto" w:fill="00FFFF"/>
    </w:pPr>
  </w:style>
  <w:style w:type="character" w:customStyle="1" w:styleId="10">
    <w:name w:val="Заголовок 1 Знак"/>
    <w:basedOn w:val="a0"/>
    <w:link w:val="1"/>
    <w:uiPriority w:val="9"/>
    <w:rsid w:val="0007451A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07451A"/>
    <w:rPr>
      <w:b/>
      <w:bCs/>
    </w:rPr>
  </w:style>
  <w:style w:type="paragraph" w:styleId="a6">
    <w:name w:val="Normal (Web)"/>
    <w:basedOn w:val="a"/>
    <w:uiPriority w:val="99"/>
    <w:semiHidden/>
    <w:unhideWhenUsed/>
    <w:rsid w:val="0007451A"/>
    <w:pPr>
      <w:spacing w:before="100" w:beforeAutospacing="1" w:after="100" w:afterAutospacing="1"/>
    </w:pPr>
  </w:style>
  <w:style w:type="character" w:customStyle="1" w:styleId="ps">
    <w:name w:val="ps"/>
    <w:basedOn w:val="a0"/>
    <w:rsid w:val="0007451A"/>
  </w:style>
  <w:style w:type="paragraph" w:styleId="a7">
    <w:name w:val="Balloon Text"/>
    <w:basedOn w:val="a"/>
    <w:link w:val="a8"/>
    <w:uiPriority w:val="99"/>
    <w:semiHidden/>
    <w:unhideWhenUsed/>
    <w:rsid w:val="00181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DB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F64B9"/>
    <w:rPr>
      <w:color w:val="0000FF"/>
      <w:u w:val="single"/>
    </w:rPr>
  </w:style>
  <w:style w:type="character" w:customStyle="1" w:styleId="11">
    <w:name w:val="Название объекта1"/>
    <w:basedOn w:val="a0"/>
    <w:rsid w:val="00EF64B9"/>
  </w:style>
  <w:style w:type="character" w:customStyle="1" w:styleId="40">
    <w:name w:val="Заголовок 4 Знак"/>
    <w:basedOn w:val="a0"/>
    <w:link w:val="4"/>
    <w:semiHidden/>
    <w:rsid w:val="00AF5F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15">
    <w:name w:val="s_15"/>
    <w:basedOn w:val="a"/>
    <w:rsid w:val="00AF5FE0"/>
    <w:pPr>
      <w:spacing w:before="100" w:beforeAutospacing="1" w:after="100" w:afterAutospacing="1"/>
    </w:pPr>
  </w:style>
  <w:style w:type="character" w:customStyle="1" w:styleId="s10">
    <w:name w:val="s_10"/>
    <w:basedOn w:val="a0"/>
    <w:rsid w:val="00AF5FE0"/>
  </w:style>
  <w:style w:type="paragraph" w:customStyle="1" w:styleId="s22">
    <w:name w:val="s_22"/>
    <w:basedOn w:val="a"/>
    <w:rsid w:val="00AF5FE0"/>
    <w:pPr>
      <w:spacing w:before="100" w:beforeAutospacing="1" w:after="100" w:afterAutospacing="1"/>
    </w:pPr>
  </w:style>
  <w:style w:type="paragraph" w:customStyle="1" w:styleId="s1">
    <w:name w:val="s_1"/>
    <w:basedOn w:val="a"/>
    <w:rsid w:val="00AF5FE0"/>
    <w:pPr>
      <w:spacing w:before="100" w:beforeAutospacing="1" w:after="100" w:afterAutospacing="1"/>
    </w:pPr>
  </w:style>
  <w:style w:type="character" w:customStyle="1" w:styleId="12">
    <w:name w:val="Дата1"/>
    <w:basedOn w:val="a0"/>
    <w:rsid w:val="008F260D"/>
  </w:style>
  <w:style w:type="character" w:customStyle="1" w:styleId="fn">
    <w:name w:val="fn"/>
    <w:basedOn w:val="a0"/>
    <w:rsid w:val="008F260D"/>
  </w:style>
  <w:style w:type="character" w:customStyle="1" w:styleId="post-comments">
    <w:name w:val="post-comments"/>
    <w:basedOn w:val="a0"/>
    <w:rsid w:val="008F260D"/>
  </w:style>
  <w:style w:type="paragraph" w:customStyle="1" w:styleId="consnormal">
    <w:name w:val="consnormal"/>
    <w:basedOn w:val="a"/>
    <w:rsid w:val="008F26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2366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011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486728D87203B70D035C8134892A83996A714BC6E3834C114C99BDC043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0486728D87203B70D035C8134892A83991A111BB6F3469CB1C9097DE40F9CFD299F878CD34630D3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74284-E836-401C-AED8-FBD21C24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</cp:lastModifiedBy>
  <cp:revision>4</cp:revision>
  <dcterms:created xsi:type="dcterms:W3CDTF">2016-04-27T08:38:00Z</dcterms:created>
  <dcterms:modified xsi:type="dcterms:W3CDTF">2016-04-27T08:38:00Z</dcterms:modified>
</cp:coreProperties>
</file>