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6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afafa" w:val="clear"/>
          <w:rtl w:val="0"/>
        </w:rPr>
        <w:t xml:space="preserve">Многие копирайтеры предпочитают фриланс работе в офисе, исключая при этом прямое общение с заказчиком или руководством. Однако только технического задания зачастую недостаточно, чтобы понять суть предстоящей работы. Тогда и приходиться вступать в диалог с заказчиками. От этого напрямую будет зависеть результат выполненной работы и ваш рейтинг.</w:t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</w:pPr>
      <w:r w:rsidDel="00000000" w:rsidR="00000000" w:rsidRPr="00000000">
        <w:rPr>
          <w:color w:val="333333"/>
          <w:sz w:val="28"/>
          <w:szCs w:val="28"/>
          <w:shd w:fill="fafafa" w:val="clear"/>
          <w:rtl w:val="0"/>
        </w:rPr>
        <w:t xml:space="preserve">Ниже рассмотрим несколько советов, как избежать конфронтации во время общения с заказчиком, и как поставить ему верные вопросы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Если какая-то часть из задания неясна, тогда лучше не откладывать этот вопрос на потом. Поскольку заказчики чаще всего остаются онлайн недолго после выбора исполнителя.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Соблюдайте толерантность в любых спорных вопросах. Это поможет сохранить хорошую репутацию на биржах и форумах.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Ставьте вопросы лаконично и содержательно. Чтобы заказчик правильно понял вопрос и дал своевременный ответ.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На ошибки в ТЗ (техническом задании) лучше указывать в виде вопроса.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Непонятные моменты лучше решать еще перед тем, как заказ взят в работу. Если заказчик не отвечает на сообщение, тогда не стоит браться за заказ, так как после отправки на проверку, тот будет ссылаться, что в задании все было верно.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Если заказчик не желает принимать работу, хотя вы уверены, что задание выполнено верно, можно попробовать отправить работу на рассмотрение в арбитраж. Если текст действительно отвечает всемусловиям ТЗ и сделан хорошо, в таком случае решение будет вынесено в вашу пользу.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36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shd w:fill="fafafa" w:val="clear"/>
          <w:rtl w:val="0"/>
        </w:rPr>
        <w:t xml:space="preserve">На встречный иск также можно ответить, если вы уверены, что выполнили задание верно. Чаше арбитраж оказывается на стороне заказчика, но шанс выиграть спор есть. Однако вступать в него нужно только если вы знаете, что работа сделана "на отлично" и в соответствие с ТЗ.</w:t>
      </w:r>
    </w:p>
    <w:p w:rsidR="00000000" w:rsidDel="00000000" w:rsidP="00000000" w:rsidRDefault="00000000" w:rsidRPr="00000000">
      <w:pPr>
        <w:spacing w:line="336" w:lineRule="auto"/>
        <w:contextualSpacing w:val="0"/>
        <w:jc w:val="center"/>
      </w:pPr>
      <w:r w:rsidDel="00000000" w:rsidR="00000000" w:rsidRPr="00000000">
        <w:rPr>
          <w:color w:val="333333"/>
          <w:sz w:val="28"/>
          <w:szCs w:val="28"/>
          <w:shd w:fill="fafafa" w:val="clear"/>
          <w:rtl w:val="0"/>
        </w:rPr>
        <w:t xml:space="preserve">Такие несложные пункты делового этикета копирайтера помогут сохранить вашрейтинг, качественно делать работу и не потерять интерес к писательскому ремеслу.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  <w:shd w:fill="fafafa" w:val="clear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