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3F6" w:rsidRDefault="009F4EC4" w:rsidP="00366C59">
      <w:pPr>
        <w:spacing w:after="0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Данный проект направлен на ограничение препарата ОКРЕВУС в отношении отдельных подгрупп (раннее не получавшие лечение и раннее получавшие лечение пациенты, с высокоактивным заболеванием в качестве второй линии терапии и РИС)</w:t>
      </w:r>
      <w:r w:rsidRPr="009F4EC4">
        <w:rPr>
          <w:rFonts w:ascii="Verdana" w:hAnsi="Verdana"/>
          <w:sz w:val="20"/>
          <w:szCs w:val="20"/>
          <w:vertAlign w:val="superscript"/>
          <w:lang w:val="en-US"/>
        </w:rPr>
        <w:t>L</w:t>
      </w:r>
      <w:r>
        <w:rPr>
          <w:rFonts w:ascii="Verdana" w:hAnsi="Verdana"/>
          <w:sz w:val="20"/>
          <w:szCs w:val="20"/>
        </w:rPr>
        <w:t xml:space="preserve">. </w:t>
      </w:r>
      <w:proofErr w:type="gramStart"/>
      <w:r>
        <w:rPr>
          <w:rFonts w:ascii="Verdana" w:hAnsi="Verdana"/>
          <w:sz w:val="20"/>
          <w:szCs w:val="20"/>
        </w:rPr>
        <w:t xml:space="preserve">Несмотря на то, что ожидалось, что результаты не будут существенно отличаться от таковых у конкурентов (в связи с отсутствием данных по конкурентам число исследований, которые учитывались при проведении анализа, и число исследований, которые использовались с учетом размера подгрупп, было меньше, чем в сетевом анализе по  </w:t>
      </w:r>
      <w:r w:rsidR="00DB29E6">
        <w:rPr>
          <w:rFonts w:ascii="Verdana" w:hAnsi="Verdana"/>
          <w:sz w:val="20"/>
          <w:szCs w:val="20"/>
        </w:rPr>
        <w:t>ITT), результаты могут использоваться для демонстрации стабильности эффекта препарата ОКРЕВУС.</w:t>
      </w:r>
      <w:proofErr w:type="gramEnd"/>
      <w:r w:rsidR="00DB29E6">
        <w:rPr>
          <w:rFonts w:ascii="Verdana" w:hAnsi="Verdana"/>
          <w:sz w:val="20"/>
          <w:szCs w:val="20"/>
        </w:rPr>
        <w:t xml:space="preserve"> Этот проект продолжается в настоящее время, его предварительные результаты и рекомендации по стратегии будут представлены в сентябре 2016 года. Финальные отчеты его результатов будут включены в отчет по </w:t>
      </w:r>
      <w:proofErr w:type="gramStart"/>
      <w:r w:rsidR="00DB29E6">
        <w:rPr>
          <w:rFonts w:ascii="Verdana" w:hAnsi="Verdana"/>
          <w:sz w:val="20"/>
          <w:szCs w:val="20"/>
        </w:rPr>
        <w:t>сетевому</w:t>
      </w:r>
      <w:proofErr w:type="gramEnd"/>
      <w:r w:rsidR="00DB29E6">
        <w:rPr>
          <w:rFonts w:ascii="Verdana" w:hAnsi="Verdana"/>
          <w:sz w:val="20"/>
          <w:szCs w:val="20"/>
        </w:rPr>
        <w:t xml:space="preserve"> </w:t>
      </w:r>
      <w:proofErr w:type="spellStart"/>
      <w:r w:rsidR="00DB29E6">
        <w:rPr>
          <w:rFonts w:ascii="Verdana" w:hAnsi="Verdana"/>
          <w:sz w:val="20"/>
          <w:szCs w:val="20"/>
        </w:rPr>
        <w:t>метаанализу</w:t>
      </w:r>
      <w:proofErr w:type="spellEnd"/>
      <w:r w:rsidR="00DB29E6">
        <w:rPr>
          <w:rFonts w:ascii="Verdana" w:hAnsi="Verdana"/>
          <w:sz w:val="20"/>
          <w:szCs w:val="20"/>
        </w:rPr>
        <w:t xml:space="preserve">, который планируется представить в январе. </w:t>
      </w:r>
    </w:p>
    <w:p w:rsidR="00DB29E6" w:rsidRDefault="00DB29E6" w:rsidP="00366C59">
      <w:pPr>
        <w:spacing w:after="0"/>
        <w:ind w:firstLine="567"/>
        <w:jc w:val="both"/>
        <w:rPr>
          <w:rFonts w:ascii="Verdana" w:hAnsi="Verdana"/>
          <w:sz w:val="20"/>
          <w:szCs w:val="20"/>
        </w:rPr>
      </w:pPr>
    </w:p>
    <w:p w:rsidR="00DB29E6" w:rsidRPr="00724164" w:rsidRDefault="00DB29E6" w:rsidP="00366C59">
      <w:pPr>
        <w:spacing w:after="0"/>
        <w:ind w:firstLine="567"/>
        <w:jc w:val="both"/>
        <w:rPr>
          <w:rFonts w:ascii="Verdana" w:hAnsi="Verdana"/>
          <w:b/>
          <w:sz w:val="20"/>
          <w:szCs w:val="20"/>
        </w:rPr>
      </w:pPr>
      <w:r w:rsidRPr="00724164">
        <w:rPr>
          <w:rFonts w:ascii="Verdana" w:hAnsi="Verdana"/>
          <w:b/>
          <w:sz w:val="20"/>
          <w:szCs w:val="20"/>
        </w:rPr>
        <w:t xml:space="preserve">Сетевой </w:t>
      </w:r>
      <w:proofErr w:type="spellStart"/>
      <w:r w:rsidRPr="00724164">
        <w:rPr>
          <w:rFonts w:ascii="Verdana" w:hAnsi="Verdana"/>
          <w:b/>
          <w:sz w:val="20"/>
          <w:szCs w:val="20"/>
        </w:rPr>
        <w:t>метаанализ</w:t>
      </w:r>
      <w:proofErr w:type="spellEnd"/>
      <w:r w:rsidRPr="00724164">
        <w:rPr>
          <w:rFonts w:ascii="Verdana" w:hAnsi="Verdana"/>
          <w:b/>
          <w:sz w:val="20"/>
          <w:szCs w:val="20"/>
        </w:rPr>
        <w:t xml:space="preserve"> моделирования подтвержденного прогрессирования инвалидности</w:t>
      </w:r>
    </w:p>
    <w:p w:rsidR="00724164" w:rsidRDefault="00DB29E6" w:rsidP="00366C59">
      <w:pPr>
        <w:spacing w:after="0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Данный проект предназначен для получения аргументации в пользу того, почему сетевой </w:t>
      </w:r>
      <w:proofErr w:type="spellStart"/>
      <w:r>
        <w:rPr>
          <w:rFonts w:ascii="Verdana" w:hAnsi="Verdana"/>
          <w:sz w:val="20"/>
          <w:szCs w:val="20"/>
        </w:rPr>
        <w:t>метаанализ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Pr="00DB29E6">
        <w:rPr>
          <w:rFonts w:ascii="Verdana" w:hAnsi="Verdana"/>
          <w:sz w:val="20"/>
          <w:szCs w:val="20"/>
        </w:rPr>
        <w:t>CDP</w:t>
      </w:r>
      <w:r>
        <w:rPr>
          <w:rFonts w:ascii="Verdana" w:hAnsi="Verdana"/>
          <w:sz w:val="20"/>
          <w:szCs w:val="20"/>
        </w:rPr>
        <w:t xml:space="preserve"> за 12 недель представляет наиболее надежные данные о сравнительной эффективности препарата ОКРЕВУС в отношении замедления прогрессирования </w:t>
      </w:r>
      <w:proofErr w:type="spellStart"/>
      <w:r>
        <w:rPr>
          <w:rFonts w:ascii="Verdana" w:hAnsi="Verdana"/>
          <w:sz w:val="20"/>
          <w:szCs w:val="20"/>
        </w:rPr>
        <w:t>инвалидизации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r w:rsidR="00724164">
        <w:rPr>
          <w:rFonts w:ascii="Verdana" w:hAnsi="Verdana"/>
          <w:sz w:val="20"/>
          <w:szCs w:val="20"/>
        </w:rPr>
        <w:t xml:space="preserve">По ряду причин невозможно продемонстрировать превосходство препарата ОКРЕВУС в отношении </w:t>
      </w:r>
      <w:r w:rsidR="00724164" w:rsidRPr="00724164">
        <w:rPr>
          <w:rFonts w:ascii="Verdana" w:hAnsi="Verdana"/>
          <w:sz w:val="20"/>
          <w:szCs w:val="20"/>
        </w:rPr>
        <w:t>CDP</w:t>
      </w:r>
      <w:r w:rsidR="00724164">
        <w:rPr>
          <w:rFonts w:ascii="Verdana" w:hAnsi="Verdana"/>
          <w:sz w:val="20"/>
          <w:szCs w:val="20"/>
        </w:rPr>
        <w:t xml:space="preserve"> за 24 недели в </w:t>
      </w:r>
      <w:proofErr w:type="spellStart"/>
      <w:r w:rsidR="00724164">
        <w:rPr>
          <w:rFonts w:ascii="Verdana" w:hAnsi="Verdana"/>
          <w:sz w:val="20"/>
          <w:szCs w:val="20"/>
        </w:rPr>
        <w:t>метаанализе</w:t>
      </w:r>
      <w:proofErr w:type="spellEnd"/>
      <w:r w:rsidR="00724164">
        <w:rPr>
          <w:rFonts w:ascii="Verdana" w:hAnsi="Verdana"/>
          <w:sz w:val="20"/>
          <w:szCs w:val="20"/>
        </w:rPr>
        <w:t xml:space="preserve"> (по сравнению с конкурентами, в отношении которых она была продемонстрирована с использованием </w:t>
      </w:r>
      <w:r w:rsidR="00724164" w:rsidRPr="00724164">
        <w:rPr>
          <w:rFonts w:ascii="Verdana" w:hAnsi="Verdana"/>
          <w:sz w:val="20"/>
          <w:szCs w:val="20"/>
        </w:rPr>
        <w:t>CDP</w:t>
      </w:r>
      <w:r w:rsidR="00724164">
        <w:rPr>
          <w:rFonts w:ascii="Verdana" w:hAnsi="Verdana"/>
          <w:sz w:val="20"/>
          <w:szCs w:val="20"/>
        </w:rPr>
        <w:t xml:space="preserve"> за 12 недель).</w:t>
      </w:r>
    </w:p>
    <w:p w:rsidR="00DB29E6" w:rsidRDefault="00724164" w:rsidP="00724164">
      <w:pPr>
        <w:pStyle w:val="a3"/>
        <w:numPr>
          <w:ilvl w:val="0"/>
          <w:numId w:val="1"/>
        </w:numPr>
        <w:spacing w:after="0"/>
        <w:jc w:val="both"/>
        <w:rPr>
          <w:rFonts w:ascii="Verdana" w:hAnsi="Verdana"/>
          <w:sz w:val="20"/>
          <w:szCs w:val="20"/>
        </w:rPr>
      </w:pPr>
      <w:r w:rsidRPr="00724164">
        <w:rPr>
          <w:rFonts w:ascii="Verdana" w:hAnsi="Verdana"/>
          <w:sz w:val="20"/>
          <w:szCs w:val="20"/>
        </w:rPr>
        <w:t>CDP</w:t>
      </w:r>
      <w:r>
        <w:rPr>
          <w:rFonts w:ascii="Verdana" w:hAnsi="Verdana"/>
          <w:sz w:val="20"/>
          <w:szCs w:val="20"/>
        </w:rPr>
        <w:t xml:space="preserve"> за 24 недели была представлена в меньшем числе исследований, по сравнению с </w:t>
      </w:r>
      <w:r w:rsidRPr="00724164">
        <w:rPr>
          <w:rFonts w:ascii="Verdana" w:hAnsi="Verdana"/>
          <w:sz w:val="20"/>
          <w:szCs w:val="20"/>
        </w:rPr>
        <w:t>CDP</w:t>
      </w:r>
      <w:r>
        <w:rPr>
          <w:rFonts w:ascii="Verdana" w:hAnsi="Verdana"/>
          <w:sz w:val="20"/>
          <w:szCs w:val="20"/>
        </w:rPr>
        <w:t xml:space="preserve"> за 12 недель и ежегодной частотой рецидивов, что снижает точность сетевого анализа по первому показателю. </w:t>
      </w:r>
    </w:p>
    <w:p w:rsidR="00724164" w:rsidRPr="00724164" w:rsidRDefault="00724164" w:rsidP="00724164">
      <w:pPr>
        <w:pStyle w:val="a3"/>
        <w:numPr>
          <w:ilvl w:val="0"/>
          <w:numId w:val="1"/>
        </w:numPr>
        <w:spacing w:after="0"/>
        <w:jc w:val="both"/>
        <w:rPr>
          <w:rFonts w:ascii="Verdana" w:hAnsi="Verdana"/>
          <w:b/>
          <w:sz w:val="20"/>
          <w:szCs w:val="20"/>
          <w:u w:val="single"/>
          <w:lang w:val="en-US"/>
        </w:rPr>
      </w:pPr>
      <w:r w:rsidRPr="00724164">
        <w:rPr>
          <w:rFonts w:ascii="Verdana" w:hAnsi="Verdana"/>
          <w:b/>
          <w:sz w:val="20"/>
          <w:szCs w:val="20"/>
          <w:u w:val="single"/>
          <w:lang w:val="en-US"/>
        </w:rPr>
        <w:t xml:space="preserve">The fewer trials change the shape of the connected network of trials, requiring additional links or ‘node jumps’ to be made in order to make comparisons (e.g. OCREVUS versus </w:t>
      </w:r>
      <w:proofErr w:type="spellStart"/>
      <w:r w:rsidRPr="00724164">
        <w:rPr>
          <w:rFonts w:ascii="Verdana" w:hAnsi="Verdana"/>
          <w:b/>
          <w:sz w:val="20"/>
          <w:szCs w:val="20"/>
          <w:u w:val="single"/>
          <w:lang w:val="en-US"/>
        </w:rPr>
        <w:t>Gilenya</w:t>
      </w:r>
      <w:proofErr w:type="spellEnd"/>
      <w:r w:rsidRPr="00724164">
        <w:rPr>
          <w:rFonts w:ascii="Verdana" w:hAnsi="Verdana"/>
          <w:b/>
          <w:sz w:val="20"/>
          <w:szCs w:val="20"/>
          <w:u w:val="single"/>
          <w:lang w:val="en-US"/>
        </w:rPr>
        <w:t>); this further compromises precision.</w:t>
      </w:r>
    </w:p>
    <w:p w:rsidR="00724164" w:rsidRPr="00724164" w:rsidRDefault="00724164" w:rsidP="00724164">
      <w:pPr>
        <w:pStyle w:val="a3"/>
        <w:numPr>
          <w:ilvl w:val="0"/>
          <w:numId w:val="1"/>
        </w:numPr>
        <w:spacing w:after="0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>При</w:t>
      </w:r>
      <w:r w:rsidRPr="0072416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демонстрации</w:t>
      </w:r>
      <w:r w:rsidRPr="0072416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различия</w:t>
      </w:r>
      <w:r w:rsidRPr="0072416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в</w:t>
      </w:r>
      <w:r w:rsidRPr="0072416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эффективности</w:t>
      </w:r>
      <w:r w:rsidRPr="0072416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лечения</w:t>
      </w:r>
      <w:r w:rsidRPr="0072416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по</w:t>
      </w:r>
      <w:r w:rsidRPr="0072416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данным</w:t>
      </w:r>
      <w:r w:rsidRPr="00724164">
        <w:rPr>
          <w:rFonts w:ascii="Verdana" w:hAnsi="Verdana"/>
          <w:sz w:val="20"/>
          <w:szCs w:val="20"/>
        </w:rPr>
        <w:t xml:space="preserve"> CDP</w:t>
      </w:r>
      <w:r>
        <w:rPr>
          <w:rFonts w:ascii="Verdana" w:hAnsi="Verdana"/>
          <w:sz w:val="20"/>
          <w:szCs w:val="20"/>
        </w:rPr>
        <w:t xml:space="preserve"> за 24 недели, по сравнению с </w:t>
      </w:r>
      <w:r w:rsidRPr="00724164">
        <w:rPr>
          <w:rFonts w:ascii="Verdana" w:hAnsi="Verdana"/>
          <w:sz w:val="20"/>
          <w:szCs w:val="20"/>
        </w:rPr>
        <w:t>CDP</w:t>
      </w:r>
      <w:r>
        <w:rPr>
          <w:rFonts w:ascii="Verdana" w:hAnsi="Verdana"/>
          <w:sz w:val="20"/>
          <w:szCs w:val="20"/>
        </w:rPr>
        <w:t xml:space="preserve"> за 12 недель, статистическая мощность снижается, поскольку это событие отмечается реже.</w:t>
      </w:r>
    </w:p>
    <w:p w:rsidR="00724164" w:rsidRDefault="00724164" w:rsidP="00724164">
      <w:pPr>
        <w:spacing w:after="0"/>
        <w:ind w:firstLine="567"/>
        <w:jc w:val="both"/>
        <w:rPr>
          <w:rFonts w:ascii="Verdana" w:hAnsi="Verdana"/>
          <w:sz w:val="20"/>
          <w:szCs w:val="20"/>
        </w:rPr>
      </w:pPr>
      <w:r w:rsidRPr="00724164">
        <w:rPr>
          <w:rFonts w:ascii="Verdana" w:hAnsi="Verdana"/>
          <w:sz w:val="20"/>
          <w:szCs w:val="20"/>
        </w:rPr>
        <w:t>CDP</w:t>
      </w:r>
      <w:r>
        <w:rPr>
          <w:rFonts w:ascii="Verdana" w:hAnsi="Verdana"/>
          <w:sz w:val="20"/>
          <w:szCs w:val="20"/>
        </w:rPr>
        <w:t xml:space="preserve"> за 24 недели – это очень важный фактор ценности, который основан на прямых доказательствах (например, результаты по </w:t>
      </w:r>
      <w:r w:rsidRPr="00724164">
        <w:rPr>
          <w:rFonts w:ascii="Verdana" w:hAnsi="Verdana"/>
          <w:sz w:val="20"/>
          <w:szCs w:val="20"/>
        </w:rPr>
        <w:t>CDP</w:t>
      </w:r>
      <w:r>
        <w:rPr>
          <w:rFonts w:ascii="Verdana" w:hAnsi="Verdana"/>
          <w:sz w:val="20"/>
          <w:szCs w:val="20"/>
        </w:rPr>
        <w:t xml:space="preserve"> в исследованиях </w:t>
      </w:r>
      <w:r w:rsidRPr="00724164">
        <w:rPr>
          <w:rFonts w:ascii="Verdana" w:hAnsi="Verdana"/>
          <w:sz w:val="20"/>
          <w:szCs w:val="20"/>
        </w:rPr>
        <w:t xml:space="preserve">OPERA I </w:t>
      </w:r>
      <w:r>
        <w:rPr>
          <w:rFonts w:ascii="Verdana" w:hAnsi="Verdana"/>
          <w:sz w:val="20"/>
          <w:szCs w:val="20"/>
        </w:rPr>
        <w:t>и</w:t>
      </w:r>
      <w:r w:rsidRPr="00724164">
        <w:rPr>
          <w:rFonts w:ascii="Verdana" w:hAnsi="Verdana"/>
          <w:sz w:val="20"/>
          <w:szCs w:val="20"/>
        </w:rPr>
        <w:t xml:space="preserve"> OPERA II</w:t>
      </w:r>
      <w:r>
        <w:rPr>
          <w:rFonts w:ascii="Verdana" w:hAnsi="Verdana"/>
          <w:sz w:val="20"/>
          <w:szCs w:val="20"/>
        </w:rPr>
        <w:t xml:space="preserve">), и является наиболее значимой конечной точкой для плательщиков. </w:t>
      </w:r>
      <w:r w:rsidR="00486502">
        <w:rPr>
          <w:rFonts w:ascii="Verdana" w:hAnsi="Verdana"/>
          <w:sz w:val="20"/>
          <w:szCs w:val="20"/>
        </w:rPr>
        <w:t xml:space="preserve">Однако, что касается данных о прямом сравнении, их применимость более ограничена, как описано выше, и в связи с этим, на виду с представлениями непрямых результатов, мы должны использовать </w:t>
      </w:r>
      <w:r w:rsidR="00486502" w:rsidRPr="00486502">
        <w:rPr>
          <w:rFonts w:ascii="Verdana" w:hAnsi="Verdana"/>
          <w:sz w:val="20"/>
          <w:szCs w:val="20"/>
        </w:rPr>
        <w:t>VC</w:t>
      </w:r>
      <w:r w:rsidR="00486502">
        <w:rPr>
          <w:rFonts w:ascii="Verdana" w:hAnsi="Verdana"/>
          <w:sz w:val="20"/>
          <w:szCs w:val="20"/>
        </w:rPr>
        <w:t xml:space="preserve"> по </w:t>
      </w:r>
      <w:proofErr w:type="spellStart"/>
      <w:r w:rsidR="00486502">
        <w:rPr>
          <w:rFonts w:ascii="Verdana" w:hAnsi="Verdana"/>
          <w:sz w:val="20"/>
          <w:szCs w:val="20"/>
        </w:rPr>
        <w:t>инвалидизации</w:t>
      </w:r>
      <w:proofErr w:type="spellEnd"/>
      <w:r w:rsidR="00486502">
        <w:rPr>
          <w:rFonts w:ascii="Verdana" w:hAnsi="Verdana"/>
          <w:sz w:val="20"/>
          <w:szCs w:val="20"/>
        </w:rPr>
        <w:t xml:space="preserve"> (см. </w:t>
      </w:r>
      <w:r w:rsidR="00486502" w:rsidRPr="00486502">
        <w:rPr>
          <w:rFonts w:ascii="Verdana" w:hAnsi="Verdana"/>
          <w:sz w:val="20"/>
          <w:szCs w:val="20"/>
        </w:rPr>
        <w:t>VC 3</w:t>
      </w:r>
      <w:r w:rsidR="00486502">
        <w:rPr>
          <w:rFonts w:ascii="Verdana" w:hAnsi="Verdana"/>
          <w:sz w:val="20"/>
          <w:szCs w:val="20"/>
        </w:rPr>
        <w:t xml:space="preserve">). </w:t>
      </w:r>
      <w:proofErr w:type="gramStart"/>
      <w:r w:rsidR="00486502">
        <w:rPr>
          <w:rFonts w:ascii="Verdana" w:hAnsi="Verdana"/>
          <w:sz w:val="20"/>
          <w:szCs w:val="20"/>
        </w:rPr>
        <w:t xml:space="preserve">Более того, на тех рынках, где плательщики требуют, чтобы в непрямых сравнениях показали статистически значимое отличие от конкурентов, аргументы, позволяющие поддержать непрямые результаты по </w:t>
      </w:r>
      <w:r w:rsidR="00486502" w:rsidRPr="00486502">
        <w:rPr>
          <w:rFonts w:ascii="Verdana" w:hAnsi="Verdana"/>
          <w:sz w:val="20"/>
          <w:szCs w:val="20"/>
        </w:rPr>
        <w:t>CDP</w:t>
      </w:r>
      <w:r w:rsidR="00486502">
        <w:rPr>
          <w:rFonts w:ascii="Verdana" w:hAnsi="Verdana"/>
          <w:sz w:val="20"/>
          <w:szCs w:val="20"/>
        </w:rPr>
        <w:t xml:space="preserve"> за 12 недель, как наиболее надежные, могут стать необходимыми для того, чтобы избежать проблем, связанных с отсутствием достоверных отличий от конкурентов по </w:t>
      </w:r>
      <w:r w:rsidR="00486502" w:rsidRPr="00486502">
        <w:rPr>
          <w:rFonts w:ascii="Verdana" w:hAnsi="Verdana"/>
          <w:sz w:val="20"/>
          <w:szCs w:val="20"/>
        </w:rPr>
        <w:t>CDP</w:t>
      </w:r>
      <w:r w:rsidR="00486502">
        <w:rPr>
          <w:rFonts w:ascii="Verdana" w:hAnsi="Verdana"/>
          <w:sz w:val="20"/>
          <w:szCs w:val="20"/>
        </w:rPr>
        <w:t xml:space="preserve"> за 24 недели, так как такие вопросы могут задавать плательщики.</w:t>
      </w:r>
      <w:proofErr w:type="gramEnd"/>
    </w:p>
    <w:p w:rsidR="00486502" w:rsidRDefault="00486502" w:rsidP="00724164">
      <w:pPr>
        <w:spacing w:after="0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Проект продолжается, и предварительные результаты и рекомендации по стратегии будут представлены в сентябре 2016 года, финальны</w:t>
      </w:r>
      <w:r w:rsidR="00E860A3">
        <w:rPr>
          <w:rFonts w:ascii="Verdana" w:hAnsi="Verdana"/>
          <w:sz w:val="20"/>
          <w:szCs w:val="20"/>
        </w:rPr>
        <w:t>е</w:t>
      </w:r>
      <w:r>
        <w:rPr>
          <w:rFonts w:ascii="Verdana" w:hAnsi="Verdana"/>
          <w:sz w:val="20"/>
          <w:szCs w:val="20"/>
        </w:rPr>
        <w:t xml:space="preserve"> отчет</w:t>
      </w:r>
      <w:r w:rsidR="00E860A3">
        <w:rPr>
          <w:rFonts w:ascii="Verdana" w:hAnsi="Verdana"/>
          <w:sz w:val="20"/>
          <w:szCs w:val="20"/>
        </w:rPr>
        <w:t>ы</w:t>
      </w:r>
      <w:r>
        <w:rPr>
          <w:rFonts w:ascii="Verdana" w:hAnsi="Verdana"/>
          <w:sz w:val="20"/>
          <w:szCs w:val="20"/>
        </w:rPr>
        <w:t xml:space="preserve"> этих результатов </w:t>
      </w:r>
      <w:r w:rsidR="00E860A3">
        <w:rPr>
          <w:rFonts w:ascii="Verdana" w:hAnsi="Verdana"/>
          <w:sz w:val="20"/>
          <w:szCs w:val="20"/>
        </w:rPr>
        <w:t xml:space="preserve">будут включены в отчет по </w:t>
      </w:r>
      <w:proofErr w:type="gramStart"/>
      <w:r w:rsidR="00E860A3">
        <w:rPr>
          <w:rFonts w:ascii="Verdana" w:hAnsi="Verdana"/>
          <w:sz w:val="20"/>
          <w:szCs w:val="20"/>
        </w:rPr>
        <w:t>сетевому</w:t>
      </w:r>
      <w:proofErr w:type="gramEnd"/>
      <w:r w:rsidR="00E860A3">
        <w:rPr>
          <w:rFonts w:ascii="Verdana" w:hAnsi="Verdana"/>
          <w:sz w:val="20"/>
          <w:szCs w:val="20"/>
        </w:rPr>
        <w:t xml:space="preserve"> </w:t>
      </w:r>
      <w:proofErr w:type="spellStart"/>
      <w:r w:rsidR="00E860A3">
        <w:rPr>
          <w:rFonts w:ascii="Verdana" w:hAnsi="Verdana"/>
          <w:sz w:val="20"/>
          <w:szCs w:val="20"/>
        </w:rPr>
        <w:t>метаанализу</w:t>
      </w:r>
      <w:proofErr w:type="spellEnd"/>
      <w:r w:rsidR="00E860A3">
        <w:rPr>
          <w:rFonts w:ascii="Verdana" w:hAnsi="Verdana"/>
          <w:sz w:val="20"/>
          <w:szCs w:val="20"/>
        </w:rPr>
        <w:t xml:space="preserve">, который будет представлен в январе. </w:t>
      </w:r>
    </w:p>
    <w:p w:rsidR="00E860A3" w:rsidRDefault="00E860A3" w:rsidP="00724164">
      <w:pPr>
        <w:spacing w:after="0"/>
        <w:ind w:firstLine="567"/>
        <w:jc w:val="both"/>
        <w:rPr>
          <w:rFonts w:ascii="Verdana" w:hAnsi="Verdana"/>
          <w:sz w:val="20"/>
          <w:szCs w:val="20"/>
        </w:rPr>
      </w:pPr>
    </w:p>
    <w:p w:rsidR="00E860A3" w:rsidRPr="00E860A3" w:rsidRDefault="00E860A3" w:rsidP="00724164">
      <w:pPr>
        <w:spacing w:after="0"/>
        <w:ind w:firstLine="567"/>
        <w:jc w:val="both"/>
        <w:rPr>
          <w:rFonts w:ascii="Verdana" w:hAnsi="Verdana"/>
          <w:b/>
          <w:sz w:val="20"/>
          <w:szCs w:val="20"/>
        </w:rPr>
      </w:pPr>
      <w:r w:rsidRPr="00E860A3">
        <w:rPr>
          <w:rFonts w:ascii="Verdana" w:hAnsi="Verdana"/>
          <w:b/>
          <w:sz w:val="20"/>
          <w:szCs w:val="20"/>
        </w:rPr>
        <w:t xml:space="preserve">Скорректированное непрямое сравнение с </w:t>
      </w:r>
      <w:proofErr w:type="gramStart"/>
      <w:r w:rsidRPr="00E860A3">
        <w:rPr>
          <w:rFonts w:ascii="Verdana" w:hAnsi="Verdana"/>
          <w:b/>
          <w:sz w:val="20"/>
          <w:szCs w:val="20"/>
        </w:rPr>
        <w:t>высокоэффективными</w:t>
      </w:r>
      <w:proofErr w:type="gramEnd"/>
      <w:r w:rsidRPr="00E860A3">
        <w:rPr>
          <w:rFonts w:ascii="Verdana" w:hAnsi="Verdana"/>
          <w:b/>
          <w:sz w:val="20"/>
          <w:szCs w:val="20"/>
        </w:rPr>
        <w:t xml:space="preserve"> ПИТЕРС</w:t>
      </w:r>
    </w:p>
    <w:p w:rsidR="00486502" w:rsidRDefault="00E860A3" w:rsidP="00724164">
      <w:pPr>
        <w:spacing w:after="0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В данном проекте используются новейшая методология (комбинация коэффициента склонности в зависимости от популяции, с последующим сетевым </w:t>
      </w:r>
      <w:proofErr w:type="spellStart"/>
      <w:r>
        <w:rPr>
          <w:rFonts w:ascii="Verdana" w:hAnsi="Verdana"/>
          <w:sz w:val="20"/>
          <w:szCs w:val="20"/>
        </w:rPr>
        <w:t>метаанализом</w:t>
      </w:r>
      <w:proofErr w:type="spellEnd"/>
      <w:r>
        <w:rPr>
          <w:rFonts w:ascii="Verdana" w:hAnsi="Verdana"/>
          <w:sz w:val="20"/>
          <w:szCs w:val="20"/>
        </w:rPr>
        <w:t xml:space="preserve">) для сравнения эффективности препарата ОКРЕВУС и </w:t>
      </w:r>
      <w:proofErr w:type="gramStart"/>
      <w:r>
        <w:rPr>
          <w:rFonts w:ascii="Verdana" w:hAnsi="Verdana"/>
          <w:sz w:val="20"/>
          <w:szCs w:val="20"/>
        </w:rPr>
        <w:t>высокоэффективных</w:t>
      </w:r>
      <w:proofErr w:type="gramEnd"/>
      <w:r>
        <w:rPr>
          <w:rFonts w:ascii="Verdana" w:hAnsi="Verdana"/>
          <w:sz w:val="20"/>
          <w:szCs w:val="20"/>
        </w:rPr>
        <w:t xml:space="preserve"> ПИТЕРС (</w:t>
      </w:r>
      <w:proofErr w:type="spellStart"/>
      <w:r>
        <w:rPr>
          <w:rFonts w:ascii="Verdana" w:hAnsi="Verdana"/>
          <w:sz w:val="20"/>
          <w:szCs w:val="20"/>
        </w:rPr>
        <w:t>Лемтрады</w:t>
      </w:r>
      <w:proofErr w:type="spellEnd"/>
      <w:r>
        <w:rPr>
          <w:rFonts w:ascii="Verdana" w:hAnsi="Verdana"/>
          <w:sz w:val="20"/>
          <w:szCs w:val="20"/>
        </w:rPr>
        <w:t xml:space="preserve">, </w:t>
      </w:r>
      <w:proofErr w:type="spellStart"/>
      <w:r>
        <w:rPr>
          <w:rFonts w:ascii="Verdana" w:hAnsi="Verdana"/>
          <w:sz w:val="20"/>
          <w:szCs w:val="20"/>
        </w:rPr>
        <w:t>Гиления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Тизабри</w:t>
      </w:r>
      <w:proofErr w:type="spellEnd"/>
      <w:r>
        <w:rPr>
          <w:rFonts w:ascii="Verdana" w:hAnsi="Verdana"/>
          <w:sz w:val="20"/>
          <w:szCs w:val="20"/>
        </w:rPr>
        <w:t>) по клиническим исходам. Проект продолжается в настоящее время, его результаты и рекомендации</w:t>
      </w:r>
      <w:r w:rsidRPr="00E860A3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по их использованию, которые будут дополнять результаты сетевого </w:t>
      </w:r>
      <w:proofErr w:type="spellStart"/>
      <w:r>
        <w:rPr>
          <w:rFonts w:ascii="Verdana" w:hAnsi="Verdana"/>
          <w:sz w:val="20"/>
          <w:szCs w:val="20"/>
        </w:rPr>
        <w:t>метаанализа</w:t>
      </w:r>
      <w:proofErr w:type="spellEnd"/>
      <w:r>
        <w:rPr>
          <w:rFonts w:ascii="Verdana" w:hAnsi="Verdana"/>
          <w:sz w:val="20"/>
          <w:szCs w:val="20"/>
        </w:rPr>
        <w:t xml:space="preserve">, будут представлены в октябре 2016 года. </w:t>
      </w:r>
    </w:p>
    <w:p w:rsidR="00E860A3" w:rsidRDefault="00E860A3" w:rsidP="00724164">
      <w:pPr>
        <w:spacing w:after="0"/>
        <w:ind w:firstLine="567"/>
        <w:jc w:val="both"/>
        <w:rPr>
          <w:rFonts w:ascii="Verdana" w:hAnsi="Verdana"/>
          <w:sz w:val="20"/>
          <w:szCs w:val="20"/>
        </w:rPr>
      </w:pPr>
    </w:p>
    <w:p w:rsidR="00761C80" w:rsidRDefault="00761C80" w:rsidP="00724164">
      <w:pPr>
        <w:spacing w:after="0"/>
        <w:ind w:firstLine="567"/>
        <w:jc w:val="both"/>
        <w:rPr>
          <w:rFonts w:ascii="Verdana" w:hAnsi="Verdana"/>
          <w:b/>
          <w:sz w:val="20"/>
          <w:szCs w:val="20"/>
        </w:rPr>
      </w:pPr>
    </w:p>
    <w:p w:rsidR="00E860A3" w:rsidRPr="00761C80" w:rsidRDefault="00E860A3" w:rsidP="00724164">
      <w:pPr>
        <w:spacing w:after="0"/>
        <w:ind w:firstLine="567"/>
        <w:jc w:val="both"/>
        <w:rPr>
          <w:rFonts w:ascii="Verdana" w:hAnsi="Verdana"/>
          <w:b/>
          <w:sz w:val="20"/>
          <w:szCs w:val="20"/>
        </w:rPr>
      </w:pPr>
      <w:r w:rsidRPr="00761C80">
        <w:rPr>
          <w:rFonts w:ascii="Verdana" w:hAnsi="Verdana"/>
          <w:b/>
          <w:sz w:val="20"/>
          <w:szCs w:val="20"/>
        </w:rPr>
        <w:lastRenderedPageBreak/>
        <w:t>6.2.2 Величина дополнительных затрат</w:t>
      </w:r>
    </w:p>
    <w:p w:rsidR="00E860A3" w:rsidRDefault="00E860A3" w:rsidP="00724164">
      <w:pPr>
        <w:spacing w:after="0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Было разработано две предварительные модели Маркова для оценки соотношения цена-эффективность препарата ОКРЕВУС при РРС и ППРС. </w:t>
      </w:r>
      <w:r w:rsidR="00761C80">
        <w:rPr>
          <w:rFonts w:ascii="Verdana" w:hAnsi="Verdana"/>
          <w:sz w:val="20"/>
          <w:szCs w:val="20"/>
        </w:rPr>
        <w:t>В основе этих моделей лежат данные, полученные Национальным институтом здравоохранения и совершенства медицинской помощи Великобритании (</w:t>
      </w:r>
      <w:r w:rsidR="00761C80" w:rsidRPr="00761C80">
        <w:rPr>
          <w:rFonts w:ascii="Verdana" w:hAnsi="Verdana"/>
          <w:sz w:val="20"/>
          <w:szCs w:val="20"/>
        </w:rPr>
        <w:t>NICE</w:t>
      </w:r>
      <w:r w:rsidR="00761C80">
        <w:rPr>
          <w:rFonts w:ascii="Verdana" w:hAnsi="Verdana"/>
          <w:sz w:val="20"/>
          <w:szCs w:val="20"/>
        </w:rPr>
        <w:t xml:space="preserve">), в ходе оценки медицинских технологий для ПИТЕРС при РС. Следует отметить, что, хотя существуют разработанные модели «цена-эффективность» при РРС, для ППРС таких моделей разработано не было. Однако, с учетом сходства между ППРС и РРС (показатели </w:t>
      </w:r>
      <w:r w:rsidR="00761C80" w:rsidRPr="00761C80">
        <w:rPr>
          <w:rFonts w:ascii="Verdana" w:hAnsi="Verdana"/>
          <w:sz w:val="20"/>
          <w:szCs w:val="20"/>
        </w:rPr>
        <w:t>EDSS</w:t>
      </w:r>
      <w:r w:rsidR="00761C80">
        <w:rPr>
          <w:rFonts w:ascii="Verdana" w:hAnsi="Verdana"/>
          <w:sz w:val="20"/>
          <w:szCs w:val="20"/>
        </w:rPr>
        <w:t xml:space="preserve"> в обоих случаях используются для оценки прогрессирования </w:t>
      </w:r>
      <w:proofErr w:type="spellStart"/>
      <w:r w:rsidR="00761C80">
        <w:rPr>
          <w:rFonts w:ascii="Verdana" w:hAnsi="Verdana"/>
          <w:sz w:val="20"/>
          <w:szCs w:val="20"/>
        </w:rPr>
        <w:t>инвалидизации</w:t>
      </w:r>
      <w:proofErr w:type="spellEnd"/>
      <w:r w:rsidR="00761C80">
        <w:rPr>
          <w:rFonts w:ascii="Verdana" w:hAnsi="Verdana"/>
          <w:sz w:val="20"/>
          <w:szCs w:val="20"/>
        </w:rPr>
        <w:t xml:space="preserve">), обе модели основаны на изменениях показателя </w:t>
      </w:r>
      <w:r w:rsidR="00761C80" w:rsidRPr="00761C80">
        <w:rPr>
          <w:rFonts w:ascii="Verdana" w:hAnsi="Verdana"/>
          <w:sz w:val="20"/>
          <w:szCs w:val="20"/>
        </w:rPr>
        <w:t>EDSS</w:t>
      </w:r>
      <w:r w:rsidR="00761C80">
        <w:rPr>
          <w:rFonts w:ascii="Verdana" w:hAnsi="Verdana"/>
          <w:sz w:val="20"/>
          <w:szCs w:val="20"/>
        </w:rPr>
        <w:t xml:space="preserve">. </w:t>
      </w:r>
    </w:p>
    <w:p w:rsidR="00761C80" w:rsidRDefault="00761C80" w:rsidP="00724164">
      <w:pPr>
        <w:spacing w:after="0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Глобальный базовый сценарий еще должен быть </w:t>
      </w:r>
      <w:proofErr w:type="spellStart"/>
      <w:r>
        <w:rPr>
          <w:rFonts w:ascii="Verdana" w:hAnsi="Verdana"/>
          <w:sz w:val="20"/>
          <w:szCs w:val="20"/>
        </w:rPr>
        <w:t>финализирован</w:t>
      </w:r>
      <w:proofErr w:type="spellEnd"/>
      <w:r>
        <w:rPr>
          <w:rFonts w:ascii="Verdana" w:hAnsi="Verdana"/>
          <w:sz w:val="20"/>
          <w:szCs w:val="20"/>
        </w:rPr>
        <w:t xml:space="preserve"> и согласован командой </w:t>
      </w:r>
      <w:r w:rsidRPr="00761C80">
        <w:rPr>
          <w:rFonts w:ascii="Verdana" w:hAnsi="Verdana"/>
          <w:sz w:val="20"/>
          <w:szCs w:val="20"/>
        </w:rPr>
        <w:t>HTA</w:t>
      </w:r>
      <w:r>
        <w:rPr>
          <w:rFonts w:ascii="Verdana" w:hAnsi="Verdana"/>
          <w:sz w:val="20"/>
          <w:szCs w:val="20"/>
        </w:rPr>
        <w:t xml:space="preserve"> для обеих моделей. Однако</w:t>
      </w:r>
      <w:proofErr w:type="gramStart"/>
      <w:r>
        <w:rPr>
          <w:rFonts w:ascii="Verdana" w:hAnsi="Verdana"/>
          <w:sz w:val="20"/>
          <w:szCs w:val="20"/>
        </w:rPr>
        <w:t>,</w:t>
      </w:r>
      <w:proofErr w:type="gramEnd"/>
      <w:r>
        <w:rPr>
          <w:rFonts w:ascii="Verdana" w:hAnsi="Verdana"/>
          <w:sz w:val="20"/>
          <w:szCs w:val="20"/>
        </w:rPr>
        <w:t xml:space="preserve"> на обеих предыдущих моделях и предварительных глобальных моделях для препарата ОКРЕВУС было показано, что</w:t>
      </w:r>
      <w:r w:rsidR="000E1CB0">
        <w:rPr>
          <w:rFonts w:ascii="Verdana" w:hAnsi="Verdana"/>
          <w:sz w:val="20"/>
          <w:szCs w:val="20"/>
        </w:rPr>
        <w:t xml:space="preserve"> главными факторами, определяющими соотношение цена-эффективность при РРС и ППРС являются:</w:t>
      </w:r>
    </w:p>
    <w:p w:rsidR="000E1CB0" w:rsidRDefault="000E1CB0" w:rsidP="000E1CB0">
      <w:pPr>
        <w:pStyle w:val="a3"/>
        <w:numPr>
          <w:ilvl w:val="0"/>
          <w:numId w:val="2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Влияние лечения на прогрессирование </w:t>
      </w:r>
      <w:proofErr w:type="spellStart"/>
      <w:r>
        <w:rPr>
          <w:rFonts w:ascii="Verdana" w:hAnsi="Verdana"/>
          <w:sz w:val="20"/>
          <w:szCs w:val="20"/>
        </w:rPr>
        <w:t>инвалидизации</w:t>
      </w:r>
      <w:proofErr w:type="spellEnd"/>
    </w:p>
    <w:p w:rsidR="000E1CB0" w:rsidRDefault="000E1CB0" w:rsidP="000E1CB0">
      <w:pPr>
        <w:pStyle w:val="a3"/>
        <w:numPr>
          <w:ilvl w:val="0"/>
          <w:numId w:val="2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Предположение </w:t>
      </w:r>
      <w:proofErr w:type="gramStart"/>
      <w:r>
        <w:rPr>
          <w:rFonts w:ascii="Verdana" w:hAnsi="Verdana"/>
          <w:sz w:val="20"/>
          <w:szCs w:val="20"/>
        </w:rPr>
        <w:t>о</w:t>
      </w:r>
      <w:proofErr w:type="gramEnd"/>
      <w:r>
        <w:rPr>
          <w:rFonts w:ascii="Verdana" w:hAnsi="Verdana"/>
          <w:sz w:val="20"/>
          <w:szCs w:val="20"/>
        </w:rPr>
        <w:t xml:space="preserve"> эффективности долгосрочной терапии</w:t>
      </w:r>
    </w:p>
    <w:p w:rsidR="000E1CB0" w:rsidRDefault="000E1CB0" w:rsidP="000E1CB0">
      <w:pPr>
        <w:pStyle w:val="a3"/>
        <w:numPr>
          <w:ilvl w:val="0"/>
          <w:numId w:val="2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Данные о прогрессировании </w:t>
      </w:r>
      <w:proofErr w:type="spellStart"/>
      <w:r>
        <w:rPr>
          <w:rFonts w:ascii="Verdana" w:hAnsi="Verdana"/>
          <w:sz w:val="20"/>
          <w:szCs w:val="20"/>
        </w:rPr>
        <w:t>инвалидизации</w:t>
      </w:r>
      <w:proofErr w:type="spellEnd"/>
      <w:r>
        <w:rPr>
          <w:rFonts w:ascii="Verdana" w:hAnsi="Verdana"/>
          <w:sz w:val="20"/>
          <w:szCs w:val="20"/>
        </w:rPr>
        <w:t xml:space="preserve"> в ходе естественного течения заболевания</w:t>
      </w:r>
    </w:p>
    <w:p w:rsidR="000E1CB0" w:rsidRDefault="000E1CB0" w:rsidP="000E1CB0">
      <w:pPr>
        <w:pStyle w:val="a3"/>
        <w:numPr>
          <w:ilvl w:val="0"/>
          <w:numId w:val="2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Затраты на поддержания состояния здоровья</w:t>
      </w:r>
    </w:p>
    <w:p w:rsidR="000E1CB0" w:rsidRDefault="000E1CB0" w:rsidP="000E1CB0">
      <w:pPr>
        <w:pStyle w:val="a3"/>
        <w:numPr>
          <w:ilvl w:val="0"/>
          <w:numId w:val="2"/>
        </w:numPr>
        <w:spacing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Стоимость приобретения ПИТЕРС. </w:t>
      </w:r>
    </w:p>
    <w:p w:rsidR="00DC12DD" w:rsidRDefault="000E1CB0" w:rsidP="000E1CB0">
      <w:pPr>
        <w:spacing w:after="0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Различия влияния препарата ОКРЕВУС на прогрессирование </w:t>
      </w:r>
      <w:proofErr w:type="spellStart"/>
      <w:r>
        <w:rPr>
          <w:rFonts w:ascii="Verdana" w:hAnsi="Verdana"/>
          <w:sz w:val="20"/>
          <w:szCs w:val="20"/>
        </w:rPr>
        <w:t>инвалидизации</w:t>
      </w:r>
      <w:proofErr w:type="spellEnd"/>
      <w:r>
        <w:rPr>
          <w:rFonts w:ascii="Verdana" w:hAnsi="Verdana"/>
          <w:sz w:val="20"/>
          <w:szCs w:val="20"/>
        </w:rPr>
        <w:t xml:space="preserve"> при РРС и ППРС легли в основу различий в отношении предлагаемых преимуществ. С учетом выраженного эффекта </w:t>
      </w:r>
      <w:proofErr w:type="spellStart"/>
      <w:r>
        <w:rPr>
          <w:rFonts w:ascii="Verdana" w:hAnsi="Verdana"/>
          <w:sz w:val="20"/>
          <w:szCs w:val="20"/>
        </w:rPr>
        <w:t>отличения</w:t>
      </w:r>
      <w:proofErr w:type="spellEnd"/>
      <w:r>
        <w:rPr>
          <w:rFonts w:ascii="Verdana" w:hAnsi="Verdana"/>
          <w:sz w:val="20"/>
          <w:szCs w:val="20"/>
        </w:rPr>
        <w:t xml:space="preserve"> при РРС, вероятность достижения хорошего соотношения цена-эффективность препарата ОКРЕВУС по этому показанию выше. При ППРС при использовании порогов, которые заявляют плательщики в настоящее время,  препарат ОКРЕВУС не будет обладать достаточным соотношением цена-эффективность (таблица 10). См. раздел 5.2 (Стратегии доступа на рынок для ППРС</w:t>
      </w:r>
      <w:r w:rsidR="00DC12DD">
        <w:rPr>
          <w:rFonts w:ascii="Verdana" w:hAnsi="Verdana"/>
          <w:sz w:val="20"/>
          <w:szCs w:val="20"/>
        </w:rPr>
        <w:t>) на предмет изучения тактики поддержки льготного обеспечения у пациентов с ППРС.</w:t>
      </w:r>
    </w:p>
    <w:p w:rsidR="00DC12DD" w:rsidRDefault="00DC12DD" w:rsidP="000E1CB0">
      <w:pPr>
        <w:spacing w:after="0"/>
        <w:ind w:firstLine="567"/>
        <w:jc w:val="both"/>
        <w:rPr>
          <w:rFonts w:ascii="Verdana" w:hAnsi="Verdana"/>
          <w:sz w:val="20"/>
          <w:szCs w:val="20"/>
        </w:rPr>
      </w:pPr>
    </w:p>
    <w:p w:rsidR="000E1CB0" w:rsidRDefault="00DC12DD" w:rsidP="000E1CB0">
      <w:pPr>
        <w:spacing w:after="0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Таблица 10. Величина дополнительных затрат для препарата ОКРЕВУС на основе результатов </w:t>
      </w:r>
      <w:r w:rsidR="000E1CB0">
        <w:rPr>
          <w:rFonts w:ascii="Verdana" w:hAnsi="Verdana"/>
          <w:sz w:val="20"/>
          <w:szCs w:val="20"/>
        </w:rPr>
        <w:t xml:space="preserve"> </w:t>
      </w:r>
      <w:r w:rsidRPr="00DC12DD">
        <w:rPr>
          <w:rFonts w:ascii="Verdana" w:hAnsi="Verdana"/>
          <w:sz w:val="20"/>
          <w:szCs w:val="20"/>
        </w:rPr>
        <w:t>ITT</w:t>
      </w:r>
      <w:r>
        <w:rPr>
          <w:rFonts w:ascii="Verdana" w:hAnsi="Verdana"/>
          <w:sz w:val="20"/>
          <w:szCs w:val="20"/>
        </w:rPr>
        <w:t xml:space="preserve"> сетевого </w:t>
      </w:r>
      <w:proofErr w:type="spellStart"/>
      <w:r>
        <w:rPr>
          <w:rFonts w:ascii="Verdana" w:hAnsi="Verdana"/>
          <w:sz w:val="20"/>
          <w:szCs w:val="20"/>
        </w:rPr>
        <w:t>метаанализа</w:t>
      </w:r>
      <w:proofErr w:type="spellEnd"/>
      <w:r>
        <w:rPr>
          <w:rFonts w:ascii="Verdana" w:hAnsi="Verdana"/>
          <w:sz w:val="20"/>
          <w:szCs w:val="20"/>
        </w:rPr>
        <w:t xml:space="preserve"> (см. предыдущий раздел), по сравнению с ключевыми конкурентами при РРС и по сравнению с наилучшей поддерживающей терапией при ППРС (на основе цен со скидкой в Великобритании)</w:t>
      </w:r>
    </w:p>
    <w:p w:rsidR="00DE7EFA" w:rsidRDefault="00DE7EFA" w:rsidP="000E1CB0">
      <w:pPr>
        <w:spacing w:after="0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2235"/>
        <w:gridCol w:w="2409"/>
        <w:gridCol w:w="2268"/>
        <w:gridCol w:w="3226"/>
      </w:tblGrid>
      <w:tr w:rsidR="00DC12DD" w:rsidRPr="00DE7EFA" w:rsidTr="00DC12DD">
        <w:tc>
          <w:tcPr>
            <w:tcW w:w="6912" w:type="dxa"/>
            <w:gridSpan w:val="3"/>
          </w:tcPr>
          <w:p w:rsidR="00DC12DD" w:rsidRPr="00DE7EFA" w:rsidRDefault="00DC12DD" w:rsidP="00DC12D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E7EFA">
              <w:rPr>
                <w:rFonts w:ascii="Verdana" w:hAnsi="Verdana"/>
                <w:b/>
                <w:sz w:val="20"/>
                <w:szCs w:val="20"/>
              </w:rPr>
              <w:t xml:space="preserve">                                РРС</w:t>
            </w:r>
          </w:p>
        </w:tc>
        <w:tc>
          <w:tcPr>
            <w:tcW w:w="3226" w:type="dxa"/>
          </w:tcPr>
          <w:p w:rsidR="00DC12DD" w:rsidRPr="00DE7EFA" w:rsidRDefault="00DC12DD" w:rsidP="00DC12D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E7EFA">
              <w:rPr>
                <w:rFonts w:ascii="Verdana" w:hAnsi="Verdana"/>
                <w:b/>
                <w:sz w:val="20"/>
                <w:szCs w:val="20"/>
              </w:rPr>
              <w:t>ППРС</w:t>
            </w:r>
          </w:p>
        </w:tc>
      </w:tr>
      <w:tr w:rsidR="00DC12DD" w:rsidTr="00DC12DD">
        <w:tc>
          <w:tcPr>
            <w:tcW w:w="4644" w:type="dxa"/>
            <w:gridSpan w:val="2"/>
          </w:tcPr>
          <w:p w:rsidR="00DE7EFA" w:rsidRDefault="00DC12DD" w:rsidP="00DE7EFA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 сравнению 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с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DC12DD" w:rsidRDefault="00DC12DD" w:rsidP="00DE7EFA">
            <w:pPr>
              <w:jc w:val="right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Ребиф</w:t>
            </w:r>
            <w:proofErr w:type="spellEnd"/>
          </w:p>
        </w:tc>
        <w:tc>
          <w:tcPr>
            <w:tcW w:w="2268" w:type="dxa"/>
          </w:tcPr>
          <w:p w:rsidR="00DC12DD" w:rsidRDefault="00DC12DD" w:rsidP="00DE7E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 сравнению с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Гиления</w:t>
            </w:r>
            <w:proofErr w:type="spellEnd"/>
          </w:p>
        </w:tc>
        <w:tc>
          <w:tcPr>
            <w:tcW w:w="3226" w:type="dxa"/>
          </w:tcPr>
          <w:p w:rsidR="00DC12DD" w:rsidRDefault="00DC12DD" w:rsidP="00DE7E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 сравнению с наилучшей поддерживающей терапией</w:t>
            </w:r>
          </w:p>
        </w:tc>
      </w:tr>
      <w:tr w:rsidR="00DC12DD" w:rsidTr="00DE7EFA">
        <w:tc>
          <w:tcPr>
            <w:tcW w:w="2235" w:type="dxa"/>
          </w:tcPr>
          <w:p w:rsidR="00DC12DD" w:rsidRPr="00DE7EFA" w:rsidRDefault="00DC12DD" w:rsidP="00DE7E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DE7EFA">
              <w:rPr>
                <w:rFonts w:ascii="Verdana" w:hAnsi="Verdana"/>
                <w:b/>
                <w:sz w:val="20"/>
                <w:szCs w:val="20"/>
              </w:rPr>
              <w:t xml:space="preserve">Целевая цена </w:t>
            </w:r>
            <w:r w:rsidRPr="00DE7EFA">
              <w:rPr>
                <w:rFonts w:ascii="Verdana" w:hAnsi="Verdana" w:cs="Arial"/>
                <w:b/>
                <w:color w:val="222222"/>
                <w:sz w:val="20"/>
                <w:shd w:val="clear" w:color="auto" w:fill="FFFFFF"/>
              </w:rPr>
              <w:t>(£15 251)</w:t>
            </w:r>
          </w:p>
        </w:tc>
        <w:tc>
          <w:tcPr>
            <w:tcW w:w="2409" w:type="dxa"/>
            <w:vAlign w:val="center"/>
          </w:tcPr>
          <w:p w:rsidR="00DC12DD" w:rsidRPr="00DE7EFA" w:rsidRDefault="00DE7EFA" w:rsidP="00DE7E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7EFA">
              <w:rPr>
                <w:rFonts w:ascii="Verdana" w:hAnsi="Verdana" w:cs="Arial"/>
                <w:color w:val="222222"/>
                <w:sz w:val="20"/>
                <w:shd w:val="clear" w:color="auto" w:fill="FFFFFF"/>
              </w:rPr>
              <w:t>£32 957</w:t>
            </w:r>
          </w:p>
        </w:tc>
        <w:tc>
          <w:tcPr>
            <w:tcW w:w="2268" w:type="dxa"/>
            <w:vAlign w:val="center"/>
          </w:tcPr>
          <w:p w:rsidR="00DC12DD" w:rsidRPr="00DE7EFA" w:rsidRDefault="00DE7EFA" w:rsidP="00DE7E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7EFA">
              <w:rPr>
                <w:rFonts w:ascii="Verdana" w:hAnsi="Verdana" w:cs="Arial"/>
                <w:color w:val="222222"/>
                <w:sz w:val="20"/>
                <w:shd w:val="clear" w:color="auto" w:fill="FFFFFF"/>
              </w:rPr>
              <w:t>£25 287</w:t>
            </w:r>
          </w:p>
        </w:tc>
        <w:tc>
          <w:tcPr>
            <w:tcW w:w="3226" w:type="dxa"/>
            <w:vAlign w:val="center"/>
          </w:tcPr>
          <w:p w:rsidR="00DC12DD" w:rsidRPr="00DE7EFA" w:rsidRDefault="00DE7EFA" w:rsidP="00DE7E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7EFA">
              <w:rPr>
                <w:rFonts w:ascii="Verdana" w:hAnsi="Verdana" w:cs="Arial"/>
                <w:color w:val="222222"/>
                <w:sz w:val="20"/>
              </w:rPr>
              <w:t xml:space="preserve">Более  </w:t>
            </w:r>
            <w:r w:rsidRPr="00DE7EFA">
              <w:rPr>
                <w:rFonts w:ascii="Verdana" w:hAnsi="Verdana" w:cs="Arial"/>
                <w:color w:val="222222"/>
                <w:sz w:val="20"/>
                <w:shd w:val="clear" w:color="auto" w:fill="FFFFFF"/>
              </w:rPr>
              <w:t>£</w:t>
            </w:r>
            <w:r w:rsidRPr="00DE7EFA">
              <w:rPr>
                <w:rFonts w:ascii="Verdana" w:hAnsi="Verdana" w:cs="Arial"/>
                <w:color w:val="222222"/>
                <w:sz w:val="20"/>
              </w:rPr>
              <w:t>200 000 (</w:t>
            </w:r>
            <w:r w:rsidRPr="00DE7EFA">
              <w:rPr>
                <w:rFonts w:ascii="Verdana" w:hAnsi="Verdana" w:cs="Arial"/>
                <w:color w:val="222222"/>
                <w:sz w:val="20"/>
                <w:shd w:val="clear" w:color="auto" w:fill="FFFFFF"/>
              </w:rPr>
              <w:t>£</w:t>
            </w:r>
            <w:r w:rsidRPr="00DE7EFA">
              <w:rPr>
                <w:rFonts w:ascii="Verdana" w:hAnsi="Verdana" w:cs="Arial"/>
                <w:color w:val="222222"/>
                <w:sz w:val="20"/>
              </w:rPr>
              <w:t>216 895)</w:t>
            </w:r>
          </w:p>
        </w:tc>
      </w:tr>
      <w:tr w:rsidR="00DC12DD" w:rsidTr="00DE7EFA">
        <w:tc>
          <w:tcPr>
            <w:tcW w:w="2235" w:type="dxa"/>
          </w:tcPr>
          <w:p w:rsidR="00DC12DD" w:rsidRPr="00DE7EFA" w:rsidRDefault="00DE7EFA" w:rsidP="00DE7EFA">
            <w:pPr>
              <w:rPr>
                <w:rFonts w:ascii="Verdana" w:hAnsi="Verdana"/>
                <w:b/>
                <w:sz w:val="20"/>
                <w:szCs w:val="20"/>
              </w:rPr>
            </w:pPr>
            <w:r w:rsidRPr="00DE7EFA">
              <w:rPr>
                <w:rFonts w:ascii="Verdana" w:hAnsi="Verdana"/>
                <w:b/>
                <w:sz w:val="20"/>
                <w:szCs w:val="20"/>
              </w:rPr>
              <w:t xml:space="preserve">Минимальная допустимая цена </w:t>
            </w:r>
            <w:r w:rsidRPr="00DE7EFA">
              <w:rPr>
                <w:rFonts w:ascii="Verdana" w:hAnsi="Verdana" w:cs="Arial"/>
                <w:b/>
                <w:color w:val="222222"/>
                <w:sz w:val="20"/>
                <w:shd w:val="clear" w:color="auto" w:fill="FFFFFF"/>
              </w:rPr>
              <w:t>(£14 162)</w:t>
            </w:r>
          </w:p>
        </w:tc>
        <w:tc>
          <w:tcPr>
            <w:tcW w:w="2409" w:type="dxa"/>
            <w:vAlign w:val="center"/>
          </w:tcPr>
          <w:p w:rsidR="00DC12DD" w:rsidRPr="00DE7EFA" w:rsidRDefault="00DE7EFA" w:rsidP="00DE7E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7EFA">
              <w:rPr>
                <w:rFonts w:ascii="Verdana" w:hAnsi="Verdana" w:cs="Arial"/>
                <w:color w:val="222222"/>
                <w:sz w:val="20"/>
                <w:shd w:val="clear" w:color="auto" w:fill="FFFFFF"/>
              </w:rPr>
              <w:t>£28 579</w:t>
            </w:r>
          </w:p>
        </w:tc>
        <w:tc>
          <w:tcPr>
            <w:tcW w:w="2268" w:type="dxa"/>
            <w:vAlign w:val="center"/>
          </w:tcPr>
          <w:p w:rsidR="00DC12DD" w:rsidRPr="00DE7EFA" w:rsidRDefault="00DE7EFA" w:rsidP="00DE7E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7EFA">
              <w:rPr>
                <w:rFonts w:ascii="Verdana" w:hAnsi="Verdana" w:cs="Arial"/>
                <w:color w:val="222222"/>
                <w:sz w:val="20"/>
                <w:shd w:val="clear" w:color="auto" w:fill="FFFFFF"/>
              </w:rPr>
              <w:t>£18 695</w:t>
            </w:r>
          </w:p>
        </w:tc>
        <w:tc>
          <w:tcPr>
            <w:tcW w:w="3226" w:type="dxa"/>
            <w:vAlign w:val="center"/>
          </w:tcPr>
          <w:p w:rsidR="00DC12DD" w:rsidRPr="00DE7EFA" w:rsidRDefault="00DE7EFA" w:rsidP="00DE7EFA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E7EFA">
              <w:rPr>
                <w:rFonts w:ascii="Verdana" w:hAnsi="Verdana" w:cs="Arial"/>
                <w:color w:val="222222"/>
                <w:sz w:val="20"/>
              </w:rPr>
              <w:t xml:space="preserve">Более  </w:t>
            </w:r>
            <w:r w:rsidRPr="00DE7EFA">
              <w:rPr>
                <w:rFonts w:ascii="Verdana" w:hAnsi="Verdana" w:cs="Arial"/>
                <w:color w:val="222222"/>
                <w:sz w:val="20"/>
                <w:shd w:val="clear" w:color="auto" w:fill="FFFFFF"/>
              </w:rPr>
              <w:t>£</w:t>
            </w:r>
            <w:r w:rsidRPr="00DE7EFA">
              <w:rPr>
                <w:rFonts w:ascii="Verdana" w:hAnsi="Verdana" w:cs="Arial"/>
                <w:color w:val="222222"/>
                <w:sz w:val="20"/>
              </w:rPr>
              <w:t>200 000 (</w:t>
            </w:r>
            <w:r w:rsidRPr="00DE7EFA">
              <w:rPr>
                <w:rFonts w:ascii="Verdana" w:hAnsi="Verdana" w:cs="Arial"/>
                <w:color w:val="222222"/>
                <w:sz w:val="20"/>
                <w:shd w:val="clear" w:color="auto" w:fill="FFFFFF"/>
              </w:rPr>
              <w:t>£</w:t>
            </w:r>
            <w:r w:rsidRPr="00DE7EFA">
              <w:rPr>
                <w:rFonts w:ascii="Verdana" w:hAnsi="Verdana" w:cs="Arial"/>
                <w:color w:val="222222"/>
                <w:sz w:val="20"/>
              </w:rPr>
              <w:t>201 478)</w:t>
            </w:r>
          </w:p>
        </w:tc>
      </w:tr>
    </w:tbl>
    <w:p w:rsidR="00DC12DD" w:rsidRPr="00DE7EFA" w:rsidRDefault="00DE7EFA" w:rsidP="000E1CB0">
      <w:pPr>
        <w:spacing w:after="0"/>
        <w:ind w:firstLine="567"/>
        <w:jc w:val="both"/>
        <w:rPr>
          <w:rFonts w:ascii="Verdana" w:hAnsi="Verdana"/>
          <w:i/>
          <w:sz w:val="18"/>
          <w:szCs w:val="20"/>
        </w:rPr>
      </w:pPr>
      <w:r w:rsidRPr="00DE7EFA">
        <w:rPr>
          <w:rFonts w:ascii="Verdana" w:hAnsi="Verdana"/>
          <w:i/>
          <w:sz w:val="18"/>
          <w:szCs w:val="20"/>
        </w:rPr>
        <w:t>Примечание: вышеуказанные результаты не учитывают снижения эффекта от лечения.</w:t>
      </w:r>
    </w:p>
    <w:p w:rsidR="00DE7EFA" w:rsidRDefault="00DE7EFA" w:rsidP="000E1CB0">
      <w:pPr>
        <w:spacing w:after="0"/>
        <w:ind w:firstLine="567"/>
        <w:jc w:val="both"/>
        <w:rPr>
          <w:rFonts w:ascii="Verdana" w:hAnsi="Verdana"/>
          <w:i/>
          <w:sz w:val="18"/>
        </w:rPr>
      </w:pPr>
      <w:r w:rsidRPr="00DE7EFA">
        <w:rPr>
          <w:rFonts w:ascii="Verdana" w:hAnsi="Verdana"/>
          <w:i/>
          <w:sz w:val="18"/>
        </w:rPr>
        <w:t>BSC – наилучшая поддерживающая терапия; ППРС – первично-прогрессирующий рассеянный склероз; РРС – ремитирующий рассеянный склероз.</w:t>
      </w:r>
    </w:p>
    <w:p w:rsidR="00DE7EFA" w:rsidRDefault="00DE7EFA" w:rsidP="000E1CB0">
      <w:pPr>
        <w:spacing w:after="0"/>
        <w:ind w:firstLine="567"/>
        <w:jc w:val="both"/>
        <w:rPr>
          <w:rFonts w:ascii="Verdana" w:hAnsi="Verdana"/>
          <w:i/>
          <w:sz w:val="18"/>
        </w:rPr>
      </w:pPr>
    </w:p>
    <w:p w:rsidR="00DE7EFA" w:rsidRDefault="00DE7EFA" w:rsidP="000E1CB0">
      <w:pPr>
        <w:spacing w:after="0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Дополнительную информацию можете получить в техническом отчете </w:t>
      </w:r>
      <w:r w:rsidRPr="00DE7EFA">
        <w:rPr>
          <w:rFonts w:ascii="Verdana" w:hAnsi="Verdana"/>
          <w:sz w:val="20"/>
          <w:szCs w:val="20"/>
        </w:rPr>
        <w:t>CEA</w:t>
      </w:r>
      <w:r>
        <w:rPr>
          <w:rFonts w:ascii="Verdana" w:hAnsi="Verdana"/>
          <w:sz w:val="20"/>
          <w:szCs w:val="20"/>
        </w:rPr>
        <w:t xml:space="preserve"> (август 2016 года). Итоговые модели соотношения цена-эффективность будут представлены представительством компании в третьем квартале 2016 года. </w:t>
      </w:r>
    </w:p>
    <w:p w:rsidR="00DE7EFA" w:rsidRDefault="00DE7EFA" w:rsidP="000E1CB0">
      <w:pPr>
        <w:spacing w:after="0"/>
        <w:ind w:firstLine="567"/>
        <w:jc w:val="both"/>
        <w:rPr>
          <w:rFonts w:ascii="Verdana" w:hAnsi="Verdana"/>
          <w:sz w:val="20"/>
          <w:szCs w:val="20"/>
        </w:rPr>
      </w:pPr>
    </w:p>
    <w:p w:rsidR="00DE7EFA" w:rsidRDefault="00DE7EFA" w:rsidP="000E1CB0">
      <w:pPr>
        <w:spacing w:after="0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6.2.3 Анализ влияния на бюджет</w:t>
      </w:r>
    </w:p>
    <w:p w:rsidR="00DE7EFA" w:rsidRDefault="00DE7EFA" w:rsidP="000E1CB0">
      <w:pPr>
        <w:spacing w:after="0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Для расчета стоимости и влияния на бюджет </w:t>
      </w:r>
      <w:r w:rsidR="006061E5">
        <w:rPr>
          <w:rFonts w:ascii="Verdana" w:hAnsi="Verdana"/>
          <w:sz w:val="20"/>
          <w:szCs w:val="20"/>
        </w:rPr>
        <w:t xml:space="preserve">выхода препарата ОКРЕВУС на рынок в рамках конкретной системы здравоохранения была разработана модель влияния на бюджет в программе </w:t>
      </w:r>
      <w:proofErr w:type="spellStart"/>
      <w:r w:rsidR="006061E5" w:rsidRPr="006061E5">
        <w:rPr>
          <w:rFonts w:ascii="Verdana" w:hAnsi="Verdana"/>
          <w:sz w:val="20"/>
          <w:szCs w:val="20"/>
        </w:rPr>
        <w:t>Microsoft</w:t>
      </w:r>
      <w:proofErr w:type="spellEnd"/>
      <w:r w:rsidR="006061E5" w:rsidRPr="006061E5">
        <w:rPr>
          <w:rFonts w:ascii="Verdana" w:hAnsi="Verdana"/>
          <w:sz w:val="20"/>
          <w:szCs w:val="20"/>
        </w:rPr>
        <w:t xml:space="preserve"> </w:t>
      </w:r>
      <w:proofErr w:type="spellStart"/>
      <w:r w:rsidR="006061E5" w:rsidRPr="006061E5">
        <w:rPr>
          <w:rFonts w:ascii="Verdana" w:hAnsi="Verdana"/>
          <w:sz w:val="20"/>
          <w:szCs w:val="20"/>
        </w:rPr>
        <w:t>Excel</w:t>
      </w:r>
      <w:proofErr w:type="spellEnd"/>
      <w:r w:rsidR="006061E5">
        <w:rPr>
          <w:rFonts w:ascii="Verdana" w:hAnsi="Verdana"/>
          <w:sz w:val="20"/>
          <w:szCs w:val="20"/>
        </w:rPr>
        <w:t xml:space="preserve">. </w:t>
      </w:r>
    </w:p>
    <w:p w:rsidR="006061E5" w:rsidRDefault="006061E5" w:rsidP="000E1CB0">
      <w:pPr>
        <w:spacing w:after="0"/>
        <w:ind w:firstLine="567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 xml:space="preserve">При использовании Франции в качестве базового сценария, анализы показали, что при применении у пациентов с РРС, препарат ОКРЕВУС повышает время затрат для плательщика ежегодно на 8%. Это главным образом связано с высокой ценой препарата ОКРЕВУС, а также с тем, что он не заменит другие ПИТЕРС, обладающие высокой эффективностью (в целом, с </w:t>
      </w:r>
      <w:r>
        <w:rPr>
          <w:rFonts w:ascii="Verdana" w:hAnsi="Verdana"/>
          <w:sz w:val="20"/>
          <w:szCs w:val="20"/>
        </w:rPr>
        <w:lastRenderedPageBreak/>
        <w:t>сопоставимой ценой).</w:t>
      </w:r>
      <w:proofErr w:type="gramEnd"/>
      <w:r>
        <w:rPr>
          <w:rFonts w:ascii="Verdana" w:hAnsi="Verdana"/>
          <w:sz w:val="20"/>
          <w:szCs w:val="20"/>
        </w:rPr>
        <w:t xml:space="preserve"> Следует отметить, что на данном этапе </w:t>
      </w:r>
      <w:r w:rsidRPr="006061E5">
        <w:rPr>
          <w:rFonts w:ascii="Verdana" w:hAnsi="Verdana"/>
          <w:sz w:val="20"/>
          <w:szCs w:val="20"/>
        </w:rPr>
        <w:t>BIM</w:t>
      </w:r>
      <w:r>
        <w:rPr>
          <w:rFonts w:ascii="Verdana" w:hAnsi="Verdana"/>
          <w:sz w:val="20"/>
          <w:szCs w:val="20"/>
        </w:rPr>
        <w:t xml:space="preserve"> </w:t>
      </w:r>
      <w:proofErr w:type="gramStart"/>
      <w:r>
        <w:rPr>
          <w:rFonts w:ascii="Verdana" w:hAnsi="Verdana"/>
          <w:sz w:val="20"/>
          <w:szCs w:val="20"/>
        </w:rPr>
        <w:t>составлен</w:t>
      </w:r>
      <w:proofErr w:type="gramEnd"/>
      <w:r>
        <w:rPr>
          <w:rFonts w:ascii="Verdana" w:hAnsi="Verdana"/>
          <w:sz w:val="20"/>
          <w:szCs w:val="20"/>
        </w:rPr>
        <w:t xml:space="preserve"> с использованием глобальных предположений, включая целевую заявленную цену на глобальном рынке, и предположения о доле рынка. </w:t>
      </w:r>
    </w:p>
    <w:p w:rsidR="006061E5" w:rsidRDefault="006061E5" w:rsidP="000E1CB0">
      <w:pPr>
        <w:spacing w:after="0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Дополнительная информация представлена в техническом отчете по модели «влияние</w:t>
      </w:r>
      <w:r w:rsidR="00536891">
        <w:rPr>
          <w:rFonts w:ascii="Verdana" w:hAnsi="Verdana"/>
          <w:sz w:val="20"/>
          <w:szCs w:val="20"/>
        </w:rPr>
        <w:t xml:space="preserve"> на </w:t>
      </w:r>
      <w:r>
        <w:rPr>
          <w:rFonts w:ascii="Verdana" w:hAnsi="Verdana"/>
          <w:sz w:val="20"/>
          <w:szCs w:val="20"/>
        </w:rPr>
        <w:t>бюджет</w:t>
      </w:r>
      <w:r w:rsidR="00536891">
        <w:rPr>
          <w:rFonts w:ascii="Verdana" w:hAnsi="Verdana"/>
          <w:sz w:val="20"/>
          <w:szCs w:val="20"/>
        </w:rPr>
        <w:t xml:space="preserve"> препарата ОКРЕВУС у пациентов с рассеянным склерозом (РС)</w:t>
      </w:r>
      <w:r>
        <w:rPr>
          <w:rFonts w:ascii="Verdana" w:hAnsi="Verdana"/>
          <w:sz w:val="20"/>
          <w:szCs w:val="20"/>
        </w:rPr>
        <w:t>»</w:t>
      </w:r>
      <w:r w:rsidR="00536891">
        <w:rPr>
          <w:rFonts w:ascii="Verdana" w:hAnsi="Verdana"/>
          <w:sz w:val="20"/>
          <w:szCs w:val="20"/>
        </w:rPr>
        <w:t xml:space="preserve"> (июнь 2016 года).</w:t>
      </w:r>
    </w:p>
    <w:p w:rsidR="00536891" w:rsidRDefault="00536891" w:rsidP="000E1CB0">
      <w:pPr>
        <w:spacing w:after="0"/>
        <w:ind w:firstLine="567"/>
        <w:jc w:val="both"/>
        <w:rPr>
          <w:rFonts w:ascii="Verdana" w:hAnsi="Verdana"/>
          <w:sz w:val="20"/>
          <w:szCs w:val="20"/>
        </w:rPr>
      </w:pPr>
    </w:p>
    <w:p w:rsidR="00536891" w:rsidRPr="00536891" w:rsidRDefault="00536891" w:rsidP="000E1CB0">
      <w:pPr>
        <w:spacing w:after="0"/>
        <w:ind w:firstLine="567"/>
        <w:jc w:val="both"/>
        <w:rPr>
          <w:rFonts w:ascii="Verdana" w:hAnsi="Verdana"/>
          <w:b/>
          <w:sz w:val="20"/>
          <w:szCs w:val="20"/>
        </w:rPr>
      </w:pPr>
      <w:r w:rsidRPr="00536891">
        <w:rPr>
          <w:rFonts w:ascii="Verdana" w:hAnsi="Verdana"/>
          <w:b/>
          <w:sz w:val="20"/>
          <w:szCs w:val="20"/>
        </w:rPr>
        <w:t>7. ВОПРОСЫ И ОТВЕТЫ. РАБОТА С ВОЗРАЖЕНИЯМИ</w:t>
      </w:r>
    </w:p>
    <w:p w:rsidR="00536891" w:rsidRDefault="00536891" w:rsidP="000E1CB0">
      <w:pPr>
        <w:spacing w:after="0"/>
        <w:ind w:firstLine="567"/>
        <w:jc w:val="both"/>
        <w:rPr>
          <w:rFonts w:ascii="Verdana" w:hAnsi="Verdana"/>
          <w:sz w:val="20"/>
          <w:szCs w:val="20"/>
        </w:rPr>
      </w:pPr>
    </w:p>
    <w:p w:rsidR="00536891" w:rsidRDefault="00536891" w:rsidP="000E1CB0">
      <w:pPr>
        <w:spacing w:after="0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Набор возможных возражений или вопросов представлен в таблице 11 вместе с возможными ответами. Более подробная информация по ответам будет предоставлена в расширенном руководстве по работе с возражениями, которое будет представлено в </w:t>
      </w:r>
      <w:r w:rsidRPr="00536891">
        <w:rPr>
          <w:rFonts w:ascii="Verdana" w:hAnsi="Verdana"/>
          <w:sz w:val="20"/>
          <w:szCs w:val="20"/>
        </w:rPr>
        <w:t>AED</w:t>
      </w:r>
      <w:r>
        <w:rPr>
          <w:rFonts w:ascii="Verdana" w:hAnsi="Verdana"/>
          <w:sz w:val="20"/>
          <w:szCs w:val="20"/>
        </w:rPr>
        <w:t>.</w:t>
      </w:r>
    </w:p>
    <w:p w:rsidR="00536891" w:rsidRDefault="00536891" w:rsidP="000E1CB0">
      <w:pPr>
        <w:spacing w:after="0"/>
        <w:ind w:firstLine="567"/>
        <w:jc w:val="both"/>
        <w:rPr>
          <w:rFonts w:ascii="Verdana" w:hAnsi="Verdana"/>
          <w:sz w:val="20"/>
          <w:szCs w:val="20"/>
        </w:rPr>
      </w:pPr>
    </w:p>
    <w:p w:rsidR="00536891" w:rsidRDefault="00536891" w:rsidP="000E1CB0">
      <w:pPr>
        <w:spacing w:after="0"/>
        <w:ind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Таблица 11. Заключения по потенциальным возражениям и вопросам, а также возможным ответам</w:t>
      </w:r>
    </w:p>
    <w:p w:rsidR="00536891" w:rsidRDefault="00536891" w:rsidP="000E1CB0">
      <w:pPr>
        <w:spacing w:after="0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3510"/>
        <w:gridCol w:w="6628"/>
      </w:tblGrid>
      <w:tr w:rsidR="00536891" w:rsidRPr="00EC7D8B" w:rsidTr="00064A3C">
        <w:tc>
          <w:tcPr>
            <w:tcW w:w="3510" w:type="dxa"/>
            <w:shd w:val="clear" w:color="auto" w:fill="4BACC6" w:themeFill="accent5"/>
          </w:tcPr>
          <w:p w:rsidR="00536891" w:rsidRPr="00EC7D8B" w:rsidRDefault="00536891" w:rsidP="0053689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C7D8B">
              <w:rPr>
                <w:rFonts w:ascii="Verdana" w:hAnsi="Verdana"/>
                <w:b/>
                <w:sz w:val="20"/>
                <w:szCs w:val="20"/>
              </w:rPr>
              <w:t>Вопрос</w:t>
            </w:r>
          </w:p>
        </w:tc>
        <w:tc>
          <w:tcPr>
            <w:tcW w:w="6628" w:type="dxa"/>
            <w:shd w:val="clear" w:color="auto" w:fill="4BACC6" w:themeFill="accent5"/>
          </w:tcPr>
          <w:p w:rsidR="00536891" w:rsidRPr="00EC7D8B" w:rsidRDefault="00536891" w:rsidP="0053689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EC7D8B">
              <w:rPr>
                <w:rFonts w:ascii="Verdana" w:hAnsi="Verdana"/>
                <w:b/>
                <w:sz w:val="20"/>
                <w:szCs w:val="20"/>
              </w:rPr>
              <w:t>Ответ</w:t>
            </w:r>
          </w:p>
        </w:tc>
      </w:tr>
      <w:tr w:rsidR="00536891" w:rsidRPr="00EC7D8B" w:rsidTr="00064A3C">
        <w:tc>
          <w:tcPr>
            <w:tcW w:w="10138" w:type="dxa"/>
            <w:gridSpan w:val="2"/>
            <w:shd w:val="clear" w:color="auto" w:fill="DBE5F1" w:themeFill="accent1" w:themeFillTint="33"/>
          </w:tcPr>
          <w:p w:rsidR="00536891" w:rsidRPr="00EC7D8B" w:rsidRDefault="00536891" w:rsidP="00536891">
            <w:pPr>
              <w:jc w:val="center"/>
              <w:rPr>
                <w:rFonts w:ascii="Verdana" w:hAnsi="Verdana"/>
                <w:b/>
                <w:sz w:val="18"/>
                <w:szCs w:val="20"/>
              </w:rPr>
            </w:pPr>
            <w:r w:rsidRPr="00EC7D8B">
              <w:rPr>
                <w:rFonts w:ascii="Verdana" w:hAnsi="Verdana"/>
                <w:b/>
                <w:sz w:val="18"/>
                <w:szCs w:val="20"/>
              </w:rPr>
              <w:t>Неудовлетворенная потребность</w:t>
            </w:r>
          </w:p>
        </w:tc>
      </w:tr>
      <w:tr w:rsidR="00536891" w:rsidRPr="00536891" w:rsidTr="00064A3C">
        <w:tc>
          <w:tcPr>
            <w:tcW w:w="3510" w:type="dxa"/>
            <w:tcBorders>
              <w:bottom w:val="single" w:sz="4" w:space="0" w:color="auto"/>
            </w:tcBorders>
          </w:tcPr>
          <w:p w:rsidR="00536891" w:rsidRPr="007D6D62" w:rsidRDefault="00536891" w:rsidP="000E1CB0">
            <w:pPr>
              <w:jc w:val="both"/>
              <w:rPr>
                <w:rFonts w:ascii="Verdana" w:hAnsi="Verdana"/>
                <w:b/>
                <w:color w:val="984806" w:themeColor="accent6" w:themeShade="80"/>
                <w:sz w:val="18"/>
                <w:szCs w:val="20"/>
              </w:rPr>
            </w:pPr>
            <w:r w:rsidRPr="007D6D62">
              <w:rPr>
                <w:rFonts w:ascii="Verdana" w:hAnsi="Verdana"/>
                <w:b/>
                <w:color w:val="984806" w:themeColor="accent6" w:themeShade="80"/>
                <w:sz w:val="18"/>
                <w:szCs w:val="20"/>
              </w:rPr>
              <w:t>Какую нерешенную проблему может решать препарат ОКРЕВУС при наличии такого большого числа ПИТЕРС для лечения РРС?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536891" w:rsidRDefault="00536891" w:rsidP="000E1CB0">
            <w:pPr>
              <w:jc w:val="both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Несмотря на существование большого количества подходов к лечению, у большинства пациентов сохраняется активное заболевание</w:t>
            </w:r>
            <w:r w:rsidR="0034021B">
              <w:rPr>
                <w:rFonts w:ascii="Verdana" w:hAnsi="Verdana"/>
                <w:sz w:val="18"/>
                <w:szCs w:val="20"/>
              </w:rPr>
              <w:t>,</w:t>
            </w:r>
            <w:r>
              <w:rPr>
                <w:rFonts w:ascii="Verdana" w:hAnsi="Verdana"/>
                <w:sz w:val="18"/>
                <w:szCs w:val="20"/>
              </w:rPr>
              <w:t xml:space="preserve"> и существующие</w:t>
            </w:r>
            <w:r w:rsidR="0034021B">
              <w:rPr>
                <w:rFonts w:ascii="Verdana" w:hAnsi="Verdana"/>
                <w:sz w:val="18"/>
                <w:szCs w:val="20"/>
              </w:rPr>
              <w:t xml:space="preserve"> высокоактивные препараты обладают неблагоприятным профилем «польза-риск». Существует неудовлетворенная потребность в наличии высокоэффективного препарата с хорошим профилем безопасности. </w:t>
            </w:r>
          </w:p>
          <w:p w:rsidR="0034021B" w:rsidRDefault="0034021B" w:rsidP="000E1CB0">
            <w:pPr>
              <w:jc w:val="both"/>
              <w:rPr>
                <w:rFonts w:ascii="Verdana" w:hAnsi="Verdana"/>
                <w:sz w:val="18"/>
                <w:szCs w:val="20"/>
              </w:rPr>
            </w:pPr>
          </w:p>
          <w:p w:rsidR="0034021B" w:rsidRPr="00536891" w:rsidRDefault="0034021B" w:rsidP="000E1CB0">
            <w:pPr>
              <w:jc w:val="both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Данные фазы 3 по препарату ОКРЕВУС показывают, что данное лечение является эффективным и характеризуется хорошей безопасностью для раннего начала лечения пациентов с активным заболеванием.</w:t>
            </w:r>
          </w:p>
        </w:tc>
      </w:tr>
      <w:tr w:rsidR="00536891" w:rsidRPr="00536891" w:rsidTr="00064A3C">
        <w:tc>
          <w:tcPr>
            <w:tcW w:w="3510" w:type="dxa"/>
            <w:tcBorders>
              <w:top w:val="single" w:sz="4" w:space="0" w:color="auto"/>
            </w:tcBorders>
          </w:tcPr>
          <w:p w:rsidR="00536891" w:rsidRPr="007D6D62" w:rsidRDefault="0034021B" w:rsidP="000E1CB0">
            <w:pPr>
              <w:jc w:val="both"/>
              <w:rPr>
                <w:rFonts w:ascii="Verdana" w:hAnsi="Verdana"/>
                <w:b/>
                <w:color w:val="984806" w:themeColor="accent6" w:themeShade="80"/>
                <w:sz w:val="18"/>
                <w:szCs w:val="20"/>
              </w:rPr>
            </w:pPr>
            <w:r w:rsidRPr="007D6D62">
              <w:rPr>
                <w:rFonts w:ascii="Verdana" w:hAnsi="Verdana"/>
                <w:b/>
                <w:color w:val="984806" w:themeColor="accent6" w:themeShade="80"/>
                <w:sz w:val="18"/>
                <w:szCs w:val="20"/>
              </w:rPr>
              <w:t>В чем заключается ценность более раннего начала терапии ПИТЕРС у пациентов с РС?</w:t>
            </w:r>
          </w:p>
        </w:tc>
        <w:tc>
          <w:tcPr>
            <w:tcW w:w="6628" w:type="dxa"/>
            <w:tcBorders>
              <w:bottom w:val="single" w:sz="4" w:space="0" w:color="auto"/>
            </w:tcBorders>
          </w:tcPr>
          <w:p w:rsidR="00536891" w:rsidRDefault="0034021B" w:rsidP="000E1CB0">
            <w:pPr>
              <w:jc w:val="both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Более раннее начало терапии ПИТЕРС ассоциируется с лучшим долгосрочным прогнозом, по сравнению с более поздним началом, в том числе, снижение риска прогрессирования </w:t>
            </w:r>
            <w:proofErr w:type="spellStart"/>
            <w:r>
              <w:rPr>
                <w:rFonts w:ascii="Verdana" w:hAnsi="Verdana"/>
                <w:sz w:val="18"/>
                <w:szCs w:val="20"/>
              </w:rPr>
              <w:t>инвалидизации</w:t>
            </w:r>
            <w:proofErr w:type="spellEnd"/>
            <w:r>
              <w:rPr>
                <w:rFonts w:ascii="Verdana" w:hAnsi="Verdana"/>
                <w:sz w:val="18"/>
                <w:szCs w:val="20"/>
              </w:rPr>
              <w:t>.</w:t>
            </w:r>
          </w:p>
          <w:p w:rsidR="0034021B" w:rsidRDefault="0034021B" w:rsidP="000E1CB0">
            <w:pPr>
              <w:jc w:val="both"/>
              <w:rPr>
                <w:rFonts w:ascii="Verdana" w:hAnsi="Verdana"/>
                <w:sz w:val="18"/>
                <w:szCs w:val="20"/>
              </w:rPr>
            </w:pPr>
          </w:p>
          <w:p w:rsidR="0034021B" w:rsidRPr="00536891" w:rsidRDefault="0034021B" w:rsidP="000E1CB0">
            <w:pPr>
              <w:jc w:val="both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Данные по эффективности и безопасности препарата ОКРЕВУС поддерживают его раннее применение для лечения РРС.</w:t>
            </w:r>
          </w:p>
        </w:tc>
      </w:tr>
      <w:tr w:rsidR="00536891" w:rsidRPr="00EC7D8B" w:rsidTr="00064A3C">
        <w:tc>
          <w:tcPr>
            <w:tcW w:w="3510" w:type="dxa"/>
          </w:tcPr>
          <w:p w:rsidR="00536891" w:rsidRPr="007D6D62" w:rsidRDefault="0034021B" w:rsidP="0034021B">
            <w:pPr>
              <w:jc w:val="both"/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</w:pPr>
            <w:r w:rsidRPr="007D6D62"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  <w:t xml:space="preserve">Как соотносится эффективность препарата ОКРЕВУС в определенных подгруппах (у пациентов с высокоактивным заболеванием и быстропрогрессирующим тяжелым РРС) с данными </w:t>
            </w:r>
            <w:proofErr w:type="gramStart"/>
            <w:r w:rsidRPr="007D6D62"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  <w:t>по</w:t>
            </w:r>
            <w:proofErr w:type="gramEnd"/>
            <w:r w:rsidRPr="007D6D62"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  <w:t xml:space="preserve"> существующим ПИТЕРС?  </w:t>
            </w:r>
          </w:p>
        </w:tc>
        <w:tc>
          <w:tcPr>
            <w:tcW w:w="6628" w:type="dxa"/>
            <w:tcBorders>
              <w:top w:val="single" w:sz="4" w:space="0" w:color="auto"/>
              <w:bottom w:val="nil"/>
            </w:tcBorders>
          </w:tcPr>
          <w:p w:rsidR="00536891" w:rsidRPr="00EC7D8B" w:rsidRDefault="0034021B" w:rsidP="000E1CB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C7D8B">
              <w:rPr>
                <w:rFonts w:ascii="Verdana" w:hAnsi="Verdana"/>
                <w:sz w:val="18"/>
                <w:szCs w:val="18"/>
              </w:rPr>
              <w:t xml:space="preserve">Препарат ОКРЕВУС показал стабильно более высокие результаты по эффективности, по сравнению с препаратом </w:t>
            </w:r>
            <w:proofErr w:type="spellStart"/>
            <w:r w:rsidRPr="00EC7D8B">
              <w:rPr>
                <w:rFonts w:ascii="Verdana" w:hAnsi="Verdana"/>
                <w:sz w:val="18"/>
                <w:szCs w:val="18"/>
              </w:rPr>
              <w:t>Ребиф</w:t>
            </w:r>
            <w:proofErr w:type="spellEnd"/>
            <w:r w:rsidRPr="00EC7D8B">
              <w:rPr>
                <w:rFonts w:ascii="Verdana" w:hAnsi="Verdana"/>
                <w:sz w:val="18"/>
                <w:szCs w:val="18"/>
              </w:rPr>
              <w:t xml:space="preserve">, у </w:t>
            </w:r>
            <w:proofErr w:type="gramStart"/>
            <w:r w:rsidRPr="00EC7D8B">
              <w:rPr>
                <w:rFonts w:ascii="Verdana" w:hAnsi="Verdana"/>
                <w:sz w:val="18"/>
                <w:szCs w:val="18"/>
              </w:rPr>
              <w:t>подгруппах</w:t>
            </w:r>
            <w:proofErr w:type="gramEnd"/>
            <w:r w:rsidRPr="00EC7D8B">
              <w:rPr>
                <w:rFonts w:ascii="Verdana" w:hAnsi="Verdana"/>
                <w:sz w:val="18"/>
                <w:szCs w:val="18"/>
              </w:rPr>
              <w:t xml:space="preserve"> пациентов с высокоактивным или быстропрогрессирующим тяжелым заболеванием. </w:t>
            </w:r>
          </w:p>
          <w:p w:rsidR="0034021B" w:rsidRPr="00EC7D8B" w:rsidRDefault="0034021B" w:rsidP="000E1CB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4021B" w:rsidRPr="00EC7D8B" w:rsidRDefault="0034021B" w:rsidP="000E1CB0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EC7D8B">
              <w:rPr>
                <w:rFonts w:ascii="Verdana" w:hAnsi="Verdana"/>
                <w:sz w:val="18"/>
                <w:szCs w:val="18"/>
              </w:rPr>
              <w:t>Препарат ОКРЕВУС может оказаться эффективным для применения на ранних стадиях заболевания у пациентов вот этих подгрупп.</w:t>
            </w:r>
          </w:p>
        </w:tc>
      </w:tr>
      <w:tr w:rsidR="00EC7D8B" w:rsidRPr="00EC7D8B" w:rsidTr="00064A3C">
        <w:tc>
          <w:tcPr>
            <w:tcW w:w="10138" w:type="dxa"/>
            <w:gridSpan w:val="2"/>
            <w:shd w:val="clear" w:color="auto" w:fill="DBE5F1" w:themeFill="accent1" w:themeFillTint="33"/>
          </w:tcPr>
          <w:p w:rsidR="00EC7D8B" w:rsidRPr="00EC7D8B" w:rsidRDefault="00EC7D8B" w:rsidP="00EC7D8B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C7D8B">
              <w:rPr>
                <w:rFonts w:ascii="Verdana" w:hAnsi="Verdana"/>
                <w:b/>
                <w:sz w:val="18"/>
                <w:szCs w:val="18"/>
                <w:lang w:val="en-US"/>
              </w:rPr>
              <w:t>OPERA</w:t>
            </w:r>
            <w:r w:rsidRPr="00EC7D8B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EC7D8B">
              <w:rPr>
                <w:rFonts w:ascii="Verdana" w:hAnsi="Verdana"/>
                <w:b/>
                <w:sz w:val="18"/>
                <w:szCs w:val="18"/>
                <w:lang w:val="en-US"/>
              </w:rPr>
              <w:t>I</w:t>
            </w:r>
            <w:r w:rsidRPr="00EC7D8B">
              <w:rPr>
                <w:rFonts w:ascii="Verdana" w:hAnsi="Verdana"/>
                <w:b/>
                <w:sz w:val="18"/>
                <w:szCs w:val="18"/>
              </w:rPr>
              <w:t xml:space="preserve"> и </w:t>
            </w:r>
            <w:r w:rsidRPr="00EC7D8B">
              <w:rPr>
                <w:rFonts w:ascii="Verdana" w:hAnsi="Verdana"/>
                <w:b/>
                <w:sz w:val="18"/>
                <w:szCs w:val="18"/>
                <w:lang w:val="en-US"/>
              </w:rPr>
              <w:t>OPERA</w:t>
            </w:r>
            <w:r w:rsidRPr="00EC7D8B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EC7D8B">
              <w:rPr>
                <w:rFonts w:ascii="Verdana" w:hAnsi="Verdana"/>
                <w:b/>
                <w:sz w:val="18"/>
                <w:szCs w:val="18"/>
                <w:lang w:val="en-US"/>
              </w:rPr>
              <w:t>II</w:t>
            </w:r>
            <w:r w:rsidRPr="00EC7D8B">
              <w:rPr>
                <w:rFonts w:ascii="Verdana" w:hAnsi="Verdana"/>
                <w:b/>
                <w:sz w:val="18"/>
                <w:szCs w:val="18"/>
              </w:rPr>
              <w:t>: популяции, включенные в исследования, целевые инструкции и конкуренты</w:t>
            </w:r>
          </w:p>
        </w:tc>
      </w:tr>
      <w:tr w:rsidR="00536891" w:rsidRPr="00EC7D8B" w:rsidTr="00536891">
        <w:tc>
          <w:tcPr>
            <w:tcW w:w="3510" w:type="dxa"/>
          </w:tcPr>
          <w:p w:rsidR="00536891" w:rsidRPr="007D6D62" w:rsidRDefault="00EC7D8B" w:rsidP="000E1CB0">
            <w:pPr>
              <w:jc w:val="both"/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</w:pPr>
            <w:r w:rsidRPr="007D6D62"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  <w:t xml:space="preserve">Пациенты в исследованиях </w:t>
            </w:r>
            <w:r w:rsidRPr="007D6D62">
              <w:rPr>
                <w:rFonts w:ascii="Verdana" w:hAnsi="Verdana"/>
                <w:b/>
                <w:color w:val="984806" w:themeColor="accent6" w:themeShade="80"/>
                <w:sz w:val="18"/>
                <w:szCs w:val="20"/>
              </w:rPr>
              <w:t xml:space="preserve">OPERA I и OPERA II представляют собой смешенную популяцию, включающую в себя как ранее не получавших, так и получавших лечение. Как использование такой смешанной популяции может поддержать позиционирование препарата ОКРЕВУС для льготного обеспечения у пациентов с «активным заболеванием»? </w:t>
            </w:r>
          </w:p>
        </w:tc>
        <w:tc>
          <w:tcPr>
            <w:tcW w:w="6628" w:type="dxa"/>
          </w:tcPr>
          <w:p w:rsidR="00EC7D8B" w:rsidRDefault="00EC7D8B" w:rsidP="00EC7D8B">
            <w:pPr>
              <w:jc w:val="both"/>
              <w:rPr>
                <w:rFonts w:ascii="Verdana" w:hAnsi="Verdana"/>
                <w:sz w:val="18"/>
                <w:szCs w:val="20"/>
              </w:rPr>
            </w:pPr>
            <w:proofErr w:type="gramStart"/>
            <w:r>
              <w:rPr>
                <w:rFonts w:ascii="Verdana" w:hAnsi="Verdana"/>
                <w:sz w:val="18"/>
                <w:szCs w:val="18"/>
              </w:rPr>
              <w:t xml:space="preserve">Все пациенты, включенные в исследования </w:t>
            </w:r>
            <w:r w:rsidRPr="00EC7D8B">
              <w:rPr>
                <w:rFonts w:ascii="Verdana" w:hAnsi="Verdana"/>
                <w:sz w:val="18"/>
                <w:szCs w:val="20"/>
              </w:rPr>
              <w:t>OPERA I и OPERA II</w:t>
            </w:r>
            <w:r>
              <w:rPr>
                <w:rFonts w:ascii="Verdana" w:hAnsi="Verdana"/>
                <w:sz w:val="18"/>
                <w:szCs w:val="20"/>
              </w:rPr>
              <w:t xml:space="preserve">, соответствуют определению активного РС с учетом указаний на количество рецидивов в анамнезе и критериев МРТ. </w:t>
            </w:r>
            <w:proofErr w:type="gramEnd"/>
          </w:p>
          <w:p w:rsidR="00EC7D8B" w:rsidRDefault="00EC7D8B" w:rsidP="00EC7D8B">
            <w:pPr>
              <w:jc w:val="both"/>
              <w:rPr>
                <w:rFonts w:ascii="Verdana" w:hAnsi="Verdana"/>
                <w:sz w:val="18"/>
                <w:szCs w:val="20"/>
              </w:rPr>
            </w:pPr>
          </w:p>
          <w:p w:rsidR="00536891" w:rsidRPr="00EC7D8B" w:rsidRDefault="00EC7D8B" w:rsidP="00EC7D8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Таким образом, результаты исследования демонстрируют эффективность препарата ОКРЕВУС на более ранних этапах лечения в популяциях пациентов с  активным заболеванием. </w:t>
            </w:r>
          </w:p>
        </w:tc>
      </w:tr>
      <w:tr w:rsidR="00536891" w:rsidRPr="00EC7D8B" w:rsidTr="00536891">
        <w:tc>
          <w:tcPr>
            <w:tcW w:w="3510" w:type="dxa"/>
          </w:tcPr>
          <w:p w:rsidR="00536891" w:rsidRPr="007D6D62" w:rsidRDefault="00EC7D8B" w:rsidP="001E744A">
            <w:pPr>
              <w:jc w:val="both"/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</w:pPr>
            <w:proofErr w:type="gramStart"/>
            <w:r w:rsidRPr="007D6D62"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  <w:t>Какими данными мо</w:t>
            </w:r>
            <w:r w:rsidR="001E744A" w:rsidRPr="007D6D62"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  <w:t>ж</w:t>
            </w:r>
            <w:r w:rsidRPr="007D6D62"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  <w:t xml:space="preserve">но подтвердить, что препарат </w:t>
            </w:r>
            <w:proofErr w:type="spellStart"/>
            <w:r w:rsidRPr="007D6D62"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  <w:t>Ребиф</w:t>
            </w:r>
            <w:proofErr w:type="spellEnd"/>
            <w:r w:rsidRPr="007D6D62"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  <w:t xml:space="preserve"> (</w:t>
            </w:r>
            <w:r w:rsidRPr="007D6D62">
              <w:rPr>
                <w:rFonts w:ascii="Verdana" w:hAnsi="Verdana" w:cs="Arial"/>
                <w:b/>
                <w:color w:val="984806" w:themeColor="accent6" w:themeShade="80"/>
                <w:sz w:val="18"/>
                <w:szCs w:val="18"/>
              </w:rPr>
              <w:t>IFN β-1a) в дозе 44 мкг под/к</w:t>
            </w:r>
            <w:r w:rsidR="001E744A" w:rsidRPr="007D6D62">
              <w:rPr>
                <w:rFonts w:ascii="Verdana" w:hAnsi="Verdana" w:cs="Arial"/>
                <w:b/>
                <w:color w:val="984806" w:themeColor="accent6" w:themeShade="80"/>
                <w:sz w:val="18"/>
                <w:szCs w:val="18"/>
              </w:rPr>
              <w:t xml:space="preserve">, </w:t>
            </w:r>
            <w:r w:rsidRPr="007D6D62">
              <w:rPr>
                <w:rFonts w:ascii="Verdana" w:hAnsi="Verdana" w:cs="Arial"/>
                <w:b/>
                <w:color w:val="984806" w:themeColor="accent6" w:themeShade="80"/>
                <w:sz w:val="18"/>
                <w:szCs w:val="18"/>
              </w:rPr>
              <w:t xml:space="preserve"> активный препарат сравнения</w:t>
            </w:r>
            <w:r w:rsidR="001E744A" w:rsidRPr="007D6D62">
              <w:rPr>
                <w:rFonts w:ascii="Verdana" w:hAnsi="Verdana" w:cs="Arial"/>
                <w:b/>
                <w:color w:val="984806" w:themeColor="accent6" w:themeShade="80"/>
                <w:sz w:val="18"/>
                <w:szCs w:val="18"/>
              </w:rPr>
              <w:t xml:space="preserve"> в исследованиях </w:t>
            </w:r>
            <w:r w:rsidR="001E744A" w:rsidRPr="007D6D62">
              <w:rPr>
                <w:rFonts w:ascii="Verdana" w:hAnsi="Verdana"/>
                <w:b/>
                <w:color w:val="984806" w:themeColor="accent6" w:themeShade="80"/>
                <w:sz w:val="18"/>
                <w:szCs w:val="20"/>
              </w:rPr>
              <w:t xml:space="preserve">OPERA I и OPERA II, является наиболее эффективным из </w:t>
            </w:r>
            <w:r w:rsidR="001E744A" w:rsidRPr="007D6D62">
              <w:rPr>
                <w:rFonts w:ascii="Verdana" w:hAnsi="Verdana"/>
                <w:b/>
                <w:color w:val="984806" w:themeColor="accent6" w:themeShade="80"/>
                <w:sz w:val="18"/>
                <w:szCs w:val="20"/>
              </w:rPr>
              <w:lastRenderedPageBreak/>
              <w:t xml:space="preserve">всех интерферонов?  </w:t>
            </w:r>
            <w:proofErr w:type="gramEnd"/>
          </w:p>
        </w:tc>
        <w:tc>
          <w:tcPr>
            <w:tcW w:w="6628" w:type="dxa"/>
          </w:tcPr>
          <w:p w:rsidR="00536891" w:rsidRDefault="001E744A" w:rsidP="000E1CB0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lastRenderedPageBreak/>
              <w:t>Ребиф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в дозе 44 мкг рассматривается как один из наиболее эффективных препаратов из группы </w:t>
            </w:r>
            <w:r w:rsidRPr="001E744A">
              <w:rPr>
                <w:rFonts w:ascii="Verdana" w:hAnsi="Verdana"/>
                <w:sz w:val="18"/>
                <w:szCs w:val="18"/>
              </w:rPr>
              <w:t>ABCR</w:t>
            </w:r>
            <w:r>
              <w:rPr>
                <w:rFonts w:ascii="Verdana" w:hAnsi="Verdana"/>
                <w:sz w:val="18"/>
                <w:szCs w:val="18"/>
              </w:rPr>
              <w:t xml:space="preserve"> – стандарты лечения РРС, на основе данных исследований </w:t>
            </w:r>
            <w:r w:rsidRPr="001E744A">
              <w:rPr>
                <w:rFonts w:ascii="Verdana" w:hAnsi="Verdana"/>
                <w:sz w:val="18"/>
                <w:szCs w:val="18"/>
              </w:rPr>
              <w:t>EVIDENCE</w:t>
            </w:r>
            <w:r>
              <w:rPr>
                <w:rFonts w:ascii="Verdana" w:hAnsi="Verdana"/>
                <w:sz w:val="18"/>
                <w:szCs w:val="18"/>
              </w:rPr>
              <w:t xml:space="preserve"> (по сравнению с препаратом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Авонекс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) и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Охрановского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обзора. </w:t>
            </w:r>
          </w:p>
          <w:p w:rsidR="001E744A" w:rsidRDefault="001E744A" w:rsidP="000E1CB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E744A" w:rsidRPr="00EC7D8B" w:rsidRDefault="001E744A" w:rsidP="000E1CB0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Ребиф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– адекватный препарат сравнения для препарата ОКРЕВУС в исследованиях </w:t>
            </w:r>
            <w:r w:rsidRPr="00EC7D8B">
              <w:rPr>
                <w:rFonts w:ascii="Verdana" w:hAnsi="Verdana"/>
                <w:sz w:val="18"/>
                <w:szCs w:val="20"/>
              </w:rPr>
              <w:t>OPERA I и OPERA II</w:t>
            </w:r>
            <w:r>
              <w:rPr>
                <w:rFonts w:ascii="Verdana" w:hAnsi="Verdana"/>
                <w:sz w:val="18"/>
                <w:szCs w:val="20"/>
              </w:rPr>
              <w:t>.</w:t>
            </w:r>
          </w:p>
        </w:tc>
      </w:tr>
      <w:tr w:rsidR="001E744A" w:rsidRPr="00EC7D8B" w:rsidTr="00064A3C">
        <w:tc>
          <w:tcPr>
            <w:tcW w:w="10138" w:type="dxa"/>
            <w:gridSpan w:val="2"/>
            <w:shd w:val="clear" w:color="auto" w:fill="DBE5F1" w:themeFill="accent1" w:themeFillTint="33"/>
          </w:tcPr>
          <w:p w:rsidR="001E744A" w:rsidRPr="001E744A" w:rsidRDefault="001E744A" w:rsidP="001E744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Конечные точки по эффективности при РРС</w:t>
            </w:r>
          </w:p>
        </w:tc>
      </w:tr>
      <w:tr w:rsidR="00EC7D8B" w:rsidRPr="00EC7D8B" w:rsidTr="00536891">
        <w:tc>
          <w:tcPr>
            <w:tcW w:w="3510" w:type="dxa"/>
          </w:tcPr>
          <w:p w:rsidR="00EC7D8B" w:rsidRPr="007D6D62" w:rsidRDefault="001E744A" w:rsidP="000E1CB0">
            <w:pPr>
              <w:jc w:val="both"/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</w:pPr>
            <w:r w:rsidRPr="007D6D62"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  <w:t xml:space="preserve">Как определялась устойчивое прогрессирование </w:t>
            </w:r>
            <w:proofErr w:type="spellStart"/>
            <w:r w:rsidRPr="007D6D62"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  <w:t>инвалидизации</w:t>
            </w:r>
            <w:proofErr w:type="spellEnd"/>
            <w:r w:rsidRPr="007D6D62"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  <w:t xml:space="preserve"> в исследованиях </w:t>
            </w:r>
            <w:r w:rsidRPr="007D6D62">
              <w:rPr>
                <w:rFonts w:ascii="Verdana" w:hAnsi="Verdana"/>
                <w:b/>
                <w:color w:val="984806" w:themeColor="accent6" w:themeShade="80"/>
                <w:sz w:val="18"/>
                <w:szCs w:val="20"/>
              </w:rPr>
              <w:t>OPERA I и OPERA II? Насколько эти определения отличались от тех, которые использовались в ключевых исследованиях по другим ПИТЕРС и, на что могут повлиять эти различия?</w:t>
            </w:r>
          </w:p>
        </w:tc>
        <w:tc>
          <w:tcPr>
            <w:tcW w:w="6628" w:type="dxa"/>
          </w:tcPr>
          <w:p w:rsidR="00EC7D8B" w:rsidRDefault="001E744A" w:rsidP="0039295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Определение  </w:t>
            </w:r>
            <w:r w:rsidRPr="001E744A">
              <w:rPr>
                <w:rFonts w:ascii="Verdana" w:hAnsi="Verdana"/>
                <w:sz w:val="18"/>
                <w:szCs w:val="20"/>
              </w:rPr>
              <w:t>CDP</w:t>
            </w:r>
            <w:r>
              <w:rPr>
                <w:rFonts w:ascii="Verdana" w:hAnsi="Verdana"/>
                <w:sz w:val="18"/>
                <w:szCs w:val="20"/>
              </w:rPr>
              <w:t xml:space="preserve"> может отличаться в различных исследованиях. В исследованиях </w:t>
            </w:r>
            <w:r w:rsidRPr="00EC7D8B">
              <w:rPr>
                <w:rFonts w:ascii="Verdana" w:hAnsi="Verdana"/>
                <w:sz w:val="18"/>
                <w:szCs w:val="20"/>
              </w:rPr>
              <w:t>OPERA I и OPERA II</w:t>
            </w:r>
            <w:r w:rsidR="00392953">
              <w:rPr>
                <w:rFonts w:ascii="Verdana" w:hAnsi="Verdana"/>
                <w:sz w:val="18"/>
                <w:szCs w:val="20"/>
              </w:rPr>
              <w:t xml:space="preserve"> </w:t>
            </w:r>
            <w:r w:rsidR="00392953" w:rsidRPr="001E744A">
              <w:rPr>
                <w:rFonts w:ascii="Verdana" w:hAnsi="Verdana"/>
                <w:sz w:val="18"/>
                <w:szCs w:val="20"/>
              </w:rPr>
              <w:t>CDP</w:t>
            </w:r>
            <w:r w:rsidR="00392953">
              <w:rPr>
                <w:rFonts w:ascii="Verdana" w:hAnsi="Verdana"/>
                <w:sz w:val="18"/>
                <w:szCs w:val="20"/>
              </w:rPr>
              <w:t xml:space="preserve"> определялся как увеличение на 1,0 </w:t>
            </w:r>
            <w:proofErr w:type="gramStart"/>
            <w:r w:rsidR="00392953">
              <w:rPr>
                <w:rFonts w:ascii="Verdana" w:hAnsi="Verdana"/>
                <w:sz w:val="18"/>
                <w:szCs w:val="20"/>
              </w:rPr>
              <w:t>при</w:t>
            </w:r>
            <w:proofErr w:type="gramEnd"/>
            <w:r w:rsidR="00392953">
              <w:rPr>
                <w:rFonts w:ascii="Verdana" w:hAnsi="Verdana"/>
                <w:sz w:val="18"/>
                <w:szCs w:val="20"/>
              </w:rPr>
              <w:t xml:space="preserve"> исходном</w:t>
            </w:r>
            <w:r w:rsidR="00392953" w:rsidRPr="00392953">
              <w:rPr>
                <w:rFonts w:ascii="Verdana" w:hAnsi="Verdana"/>
                <w:sz w:val="18"/>
                <w:szCs w:val="20"/>
              </w:rPr>
              <w:t xml:space="preserve"> </w:t>
            </w:r>
            <w:r w:rsidR="00392953" w:rsidRPr="00392953">
              <w:rPr>
                <w:rFonts w:ascii="Verdana" w:hAnsi="Verdana"/>
                <w:sz w:val="18"/>
                <w:szCs w:val="18"/>
              </w:rPr>
              <w:t>EDSS ≤ 5.5</w:t>
            </w:r>
            <w:r w:rsidR="00392953">
              <w:rPr>
                <w:rFonts w:ascii="Verdana" w:hAnsi="Verdana"/>
                <w:sz w:val="18"/>
                <w:szCs w:val="18"/>
              </w:rPr>
              <w:t xml:space="preserve"> или на увеличение на </w:t>
            </w:r>
            <w:r w:rsidR="00392953" w:rsidRPr="00392953">
              <w:rPr>
                <w:rFonts w:ascii="Verdana" w:hAnsi="Verdana"/>
                <w:sz w:val="18"/>
                <w:szCs w:val="18"/>
              </w:rPr>
              <w:t>≥ 0.5</w:t>
            </w:r>
            <w:r w:rsidR="00392953">
              <w:rPr>
                <w:rFonts w:ascii="Verdana" w:hAnsi="Verdana"/>
                <w:sz w:val="18"/>
                <w:szCs w:val="18"/>
              </w:rPr>
              <w:t xml:space="preserve"> балла при исходном </w:t>
            </w:r>
            <w:r w:rsidR="00392953" w:rsidRPr="00392953">
              <w:rPr>
                <w:rFonts w:ascii="Verdana" w:hAnsi="Verdana"/>
                <w:sz w:val="18"/>
                <w:szCs w:val="18"/>
              </w:rPr>
              <w:t>EDSS</w:t>
            </w:r>
            <w:r w:rsidR="0039295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92953" w:rsidRPr="00392953">
              <w:rPr>
                <w:rFonts w:ascii="Verdana" w:hAnsi="Verdana"/>
                <w:sz w:val="18"/>
                <w:szCs w:val="18"/>
              </w:rPr>
              <w:t>≤ 5.5</w:t>
            </w:r>
            <w:r w:rsidR="00392953">
              <w:rPr>
                <w:rFonts w:ascii="Verdana" w:hAnsi="Verdana"/>
                <w:sz w:val="18"/>
                <w:szCs w:val="18"/>
              </w:rPr>
              <w:t xml:space="preserve">, сохраняющееся на протяжении </w:t>
            </w:r>
            <w:r w:rsidR="00392953" w:rsidRPr="00392953">
              <w:rPr>
                <w:rFonts w:ascii="Verdana" w:hAnsi="Verdana"/>
                <w:sz w:val="18"/>
                <w:szCs w:val="18"/>
              </w:rPr>
              <w:t xml:space="preserve">≥ 12 </w:t>
            </w:r>
            <w:r w:rsidR="00392953">
              <w:rPr>
                <w:rFonts w:ascii="Verdana" w:hAnsi="Verdana"/>
                <w:sz w:val="18"/>
                <w:szCs w:val="18"/>
              </w:rPr>
              <w:t>или</w:t>
            </w:r>
            <w:r w:rsidR="00392953" w:rsidRPr="00392953">
              <w:rPr>
                <w:rFonts w:ascii="Verdana" w:hAnsi="Verdana"/>
                <w:sz w:val="18"/>
                <w:szCs w:val="18"/>
              </w:rPr>
              <w:t xml:space="preserve"> 24</w:t>
            </w:r>
            <w:r w:rsidR="00392953">
              <w:rPr>
                <w:rFonts w:ascii="Verdana" w:hAnsi="Verdana"/>
                <w:sz w:val="18"/>
                <w:szCs w:val="18"/>
              </w:rPr>
              <w:t xml:space="preserve"> недель. </w:t>
            </w:r>
          </w:p>
          <w:p w:rsidR="00392953" w:rsidRDefault="00392953" w:rsidP="00392953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92953" w:rsidRPr="00EC7D8B" w:rsidRDefault="00392953" w:rsidP="00392953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ОКРЕВУС –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единственный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ПИТЕРС, который стабильно показывал в двух ключевых исследованиях фазы 3 снижение показателя </w:t>
            </w:r>
            <w:r w:rsidRPr="001E744A">
              <w:rPr>
                <w:rFonts w:ascii="Verdana" w:hAnsi="Verdana"/>
                <w:sz w:val="18"/>
                <w:szCs w:val="20"/>
              </w:rPr>
              <w:t>CDP</w:t>
            </w:r>
            <w:r>
              <w:rPr>
                <w:rFonts w:ascii="Verdana" w:hAnsi="Verdana"/>
                <w:sz w:val="18"/>
                <w:szCs w:val="20"/>
              </w:rPr>
              <w:t xml:space="preserve"> на 12 и 24 недели, по сравнению с активным препаратом сравнения.</w:t>
            </w:r>
          </w:p>
        </w:tc>
      </w:tr>
      <w:tr w:rsidR="00EC7D8B" w:rsidRPr="00EC7D8B" w:rsidTr="00536891">
        <w:tc>
          <w:tcPr>
            <w:tcW w:w="3510" w:type="dxa"/>
          </w:tcPr>
          <w:p w:rsidR="00EC7D8B" w:rsidRPr="007D6D62" w:rsidRDefault="00392953" w:rsidP="000E1CB0">
            <w:pPr>
              <w:jc w:val="both"/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</w:pPr>
            <w:r w:rsidRPr="007D6D62"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  <w:t>Насколько значимым является подавление числа очагом МРТ с точки зрения исхода для пациента?</w:t>
            </w:r>
          </w:p>
        </w:tc>
        <w:tc>
          <w:tcPr>
            <w:tcW w:w="6628" w:type="dxa"/>
          </w:tcPr>
          <w:p w:rsidR="00EC7D8B" w:rsidRDefault="00392953" w:rsidP="000E1CB0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Метаанализ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обликованных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РКИ при РРС выявил достоверную корреляцию между эффектом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отличения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в отношении очагов по МРТ и рецидивов, и ухудшения по </w:t>
            </w:r>
            <w:r w:rsidRPr="00392953">
              <w:rPr>
                <w:rFonts w:ascii="Verdana" w:hAnsi="Verdana"/>
                <w:sz w:val="18"/>
                <w:szCs w:val="18"/>
              </w:rPr>
              <w:t>EDSS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  <w:p w:rsidR="00392953" w:rsidRDefault="00392953" w:rsidP="000E1CB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92953" w:rsidRPr="00EC7D8B" w:rsidRDefault="00392953" w:rsidP="000E1CB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Таким образом, подавление очагов по МРТ является важным исходом лечения.</w:t>
            </w:r>
          </w:p>
        </w:tc>
      </w:tr>
      <w:tr w:rsidR="00392953" w:rsidRPr="00EC7D8B" w:rsidTr="00536891">
        <w:tc>
          <w:tcPr>
            <w:tcW w:w="3510" w:type="dxa"/>
          </w:tcPr>
          <w:p w:rsidR="00392953" w:rsidRPr="007D6D62" w:rsidRDefault="00D90425" w:rsidP="000E1CB0">
            <w:pPr>
              <w:jc w:val="both"/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</w:pPr>
            <w:r w:rsidRPr="007D6D62"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  <w:t xml:space="preserve">В чем заключается польза от использования </w:t>
            </w:r>
            <w:r w:rsidRPr="007D6D62"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  <w:lang w:val="en-US"/>
              </w:rPr>
              <w:t>NEDA</w:t>
            </w:r>
            <w:r w:rsidRPr="007D6D62"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  <w:t xml:space="preserve">  в качестве объединенной конечной точки при доступности результатов по отдельным конечным точкам? Что означает достижение  </w:t>
            </w:r>
            <w:r w:rsidRPr="007D6D62"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  <w:lang w:val="en-US"/>
              </w:rPr>
              <w:t>NEDA</w:t>
            </w:r>
            <w:r w:rsidRPr="007D6D62"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  <w:t>?</w:t>
            </w:r>
          </w:p>
        </w:tc>
        <w:tc>
          <w:tcPr>
            <w:tcW w:w="6628" w:type="dxa"/>
          </w:tcPr>
          <w:p w:rsidR="00392953" w:rsidRDefault="00D90425" w:rsidP="000E1CB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Комбинированная конечная точка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NEDA</w:t>
            </w:r>
            <w:r w:rsidRPr="00D90425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 представляет строгий подход к определению эффективности терапии РС. </w:t>
            </w:r>
          </w:p>
          <w:p w:rsidR="00D90425" w:rsidRDefault="00D90425" w:rsidP="000E1CB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D90425" w:rsidRPr="00EC7D8B" w:rsidRDefault="00D90425" w:rsidP="00D90425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Результаты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когортного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исследования </w:t>
            </w:r>
            <w:r w:rsidRPr="00D90425">
              <w:rPr>
                <w:rFonts w:ascii="Verdana" w:hAnsi="Verdana"/>
                <w:sz w:val="18"/>
                <w:szCs w:val="18"/>
              </w:rPr>
              <w:t>CLIMB</w:t>
            </w:r>
            <w:r>
              <w:rPr>
                <w:rFonts w:ascii="Verdana" w:hAnsi="Verdana"/>
                <w:sz w:val="18"/>
                <w:szCs w:val="18"/>
              </w:rPr>
              <w:t xml:space="preserve"> показали, сто при достижении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NEDA</w:t>
            </w:r>
            <w:r w:rsidRPr="00D90425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 xml:space="preserve"> в течение двух лет терапии ПИТЕРС, </w:t>
            </w:r>
            <w:r w:rsidR="00EB62B0">
              <w:rPr>
                <w:rFonts w:ascii="Verdana" w:hAnsi="Verdana"/>
                <w:sz w:val="18"/>
                <w:szCs w:val="18"/>
              </w:rPr>
              <w:t>существует</w:t>
            </w:r>
            <w:r>
              <w:rPr>
                <w:rFonts w:ascii="Verdana" w:hAnsi="Verdana"/>
                <w:sz w:val="18"/>
                <w:szCs w:val="18"/>
              </w:rPr>
              <w:t xml:space="preserve"> почти 80% шанс, что спустя 7 лет не будет отмечено прогрессирование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инвалидизации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. </w:t>
            </w:r>
          </w:p>
        </w:tc>
      </w:tr>
      <w:tr w:rsidR="00392953" w:rsidRPr="00EC7D8B" w:rsidTr="00536891">
        <w:tc>
          <w:tcPr>
            <w:tcW w:w="3510" w:type="dxa"/>
          </w:tcPr>
          <w:p w:rsidR="00392953" w:rsidRPr="007D6D62" w:rsidRDefault="00D90425" w:rsidP="000E1CB0">
            <w:pPr>
              <w:jc w:val="both"/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</w:pPr>
            <w:r w:rsidRPr="007D6D62"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  <w:t xml:space="preserve">Как можно сопоставить результаты по </w:t>
            </w:r>
            <w:r w:rsidRPr="007D6D62"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  <w:lang w:val="en-US"/>
              </w:rPr>
              <w:t>NEDA</w:t>
            </w:r>
            <w:r w:rsidRPr="007D6D62"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  <w:t xml:space="preserve"> для препарата ОКРЕВУС с таковыми для других ПИТЕРС?</w:t>
            </w:r>
          </w:p>
        </w:tc>
        <w:tc>
          <w:tcPr>
            <w:tcW w:w="6628" w:type="dxa"/>
          </w:tcPr>
          <w:p w:rsidR="008B347B" w:rsidRPr="00D90425" w:rsidRDefault="00D90425" w:rsidP="00D90425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Сравнение, раннее не получавших лечение, пациентов показывает, что в группе пациентов, получавших препарат ОКРЕВУС, о доле, достигших с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NEDA</w:t>
            </w:r>
            <w:r>
              <w:rPr>
                <w:rFonts w:ascii="Verdana" w:hAnsi="Verdana"/>
                <w:sz w:val="18"/>
                <w:szCs w:val="18"/>
              </w:rPr>
              <w:t xml:space="preserve"> через 2 года</w:t>
            </w:r>
            <w:r w:rsidR="008B347B">
              <w:rPr>
                <w:rFonts w:ascii="Verdana" w:hAnsi="Verdana"/>
                <w:sz w:val="18"/>
                <w:szCs w:val="18"/>
              </w:rPr>
              <w:t>, на</w:t>
            </w:r>
            <w:r>
              <w:rPr>
                <w:rFonts w:ascii="Verdana" w:hAnsi="Verdana"/>
                <w:sz w:val="18"/>
                <w:szCs w:val="18"/>
              </w:rPr>
              <w:t xml:space="preserve"> 46% выше, чем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для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существующих высокоэффективных ПИТЕРС (23-38%).</w:t>
            </w:r>
          </w:p>
        </w:tc>
      </w:tr>
      <w:tr w:rsidR="00392953" w:rsidRPr="00EC7D8B" w:rsidTr="00536891">
        <w:tc>
          <w:tcPr>
            <w:tcW w:w="3510" w:type="dxa"/>
          </w:tcPr>
          <w:p w:rsidR="00392953" w:rsidRPr="007D6D62" w:rsidRDefault="00EB62B0" w:rsidP="00EB62B0">
            <w:pPr>
              <w:jc w:val="both"/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</w:pPr>
            <w:r w:rsidRPr="007D6D62"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  <w:t xml:space="preserve">Рецидивы представляют собой явления коротко продолжительности и для их купирования могут использоваться простые короткие </w:t>
            </w:r>
            <w:proofErr w:type="gramStart"/>
            <w:r w:rsidRPr="007D6D62"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  <w:t>дешевые курсы</w:t>
            </w:r>
            <w:proofErr w:type="gramEnd"/>
            <w:r w:rsidRPr="007D6D62"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  <w:t xml:space="preserve"> стероидов. В чем заключается значимое преимущество </w:t>
            </w:r>
            <w:proofErr w:type="spellStart"/>
            <w:r w:rsidRPr="007D6D62"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  <w:t>недо</w:t>
            </w:r>
            <w:proofErr w:type="spellEnd"/>
            <w:r w:rsidRPr="007D6D62"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  <w:t xml:space="preserve"> пускания рецидивов для пациентов и экономики?  </w:t>
            </w:r>
          </w:p>
        </w:tc>
        <w:tc>
          <w:tcPr>
            <w:tcW w:w="6628" w:type="dxa"/>
          </w:tcPr>
          <w:p w:rsidR="00392953" w:rsidRDefault="00EB62B0" w:rsidP="000E1CB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Помимо того, что рецидивы при РРС оказывают влияние на </w:t>
            </w:r>
            <w:proofErr w:type="spellStart"/>
            <w:r w:rsidRPr="00EB62B0">
              <w:rPr>
                <w:rFonts w:ascii="Verdana" w:hAnsi="Verdana"/>
                <w:sz w:val="18"/>
                <w:szCs w:val="18"/>
              </w:rPr>
              <w:t>HRQoL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они ассоциируются со значительными дополнительными затратами (по данным последних европейских исследований от </w:t>
            </w:r>
            <w:r w:rsidRPr="00EB62B0">
              <w:rPr>
                <w:rFonts w:ascii="Verdana" w:hAnsi="Verdana"/>
                <w:sz w:val="18"/>
                <w:szCs w:val="18"/>
              </w:rPr>
              <w:t>€3400–€9600</w:t>
            </w:r>
            <w:r>
              <w:rPr>
                <w:rFonts w:ascii="Verdana" w:hAnsi="Verdana"/>
                <w:sz w:val="18"/>
                <w:szCs w:val="18"/>
              </w:rPr>
              <w:t xml:space="preserve"> на рецидив). </w:t>
            </w:r>
          </w:p>
          <w:p w:rsidR="00EB62B0" w:rsidRDefault="00EB62B0" w:rsidP="000E1CB0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EB62B0" w:rsidRPr="00EC7D8B" w:rsidRDefault="00EB62B0" w:rsidP="00EB62B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Неполное восстановление после рецидивов может привести к нарастанию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инвалидизации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(у 42% из 224 пациентов в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когортной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базе данных отмечается остаточно неврологические дефициты). </w:t>
            </w:r>
          </w:p>
        </w:tc>
      </w:tr>
      <w:tr w:rsidR="00EB62B0" w:rsidRPr="00EC7D8B" w:rsidTr="00064A3C">
        <w:tc>
          <w:tcPr>
            <w:tcW w:w="10138" w:type="dxa"/>
            <w:gridSpan w:val="2"/>
            <w:shd w:val="clear" w:color="auto" w:fill="DBE5F1" w:themeFill="accent1" w:themeFillTint="33"/>
          </w:tcPr>
          <w:p w:rsidR="00EB62B0" w:rsidRPr="00EB62B0" w:rsidRDefault="00EB62B0" w:rsidP="00EB62B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Эффективность препарата ОКРЕВУС при ППРС</w:t>
            </w:r>
          </w:p>
        </w:tc>
      </w:tr>
      <w:tr w:rsidR="00392953" w:rsidRPr="00EB62B0" w:rsidTr="00536891">
        <w:tc>
          <w:tcPr>
            <w:tcW w:w="3510" w:type="dxa"/>
          </w:tcPr>
          <w:p w:rsidR="00392953" w:rsidRPr="007D6D62" w:rsidRDefault="002712FB" w:rsidP="002712FB">
            <w:pPr>
              <w:jc w:val="both"/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</w:pPr>
            <w:r w:rsidRPr="007D6D62"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  <w:t xml:space="preserve">С учетом того, что в исследовании по ППРС включались специально отобранные пациенты, как можно экстраполировать полученные результаты на всех пациентах с ППРС? </w:t>
            </w:r>
          </w:p>
        </w:tc>
        <w:tc>
          <w:tcPr>
            <w:tcW w:w="6628" w:type="dxa"/>
          </w:tcPr>
          <w:p w:rsidR="00392953" w:rsidRPr="002712FB" w:rsidRDefault="002712FB" w:rsidP="002712FB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В исследование включалось сопоставимое число мужчин и женщин (приблизительно 51% мужчин и 49% женщин, что соответствует данным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>о</w:t>
            </w:r>
            <w:proofErr w:type="gramEnd"/>
            <w:r>
              <w:rPr>
                <w:rFonts w:ascii="Verdana" w:hAnsi="Verdana"/>
                <w:sz w:val="18"/>
                <w:szCs w:val="18"/>
              </w:rPr>
              <w:t xml:space="preserve"> эпидемиологии ППРС). В число других исходных характеристик, отражающих состояние популяции ППРС, относится средний возраст (около 45 лет), средний показатель  </w:t>
            </w:r>
            <w:r w:rsidRPr="002712FB">
              <w:rPr>
                <w:rFonts w:ascii="Verdana" w:hAnsi="Verdana"/>
                <w:sz w:val="18"/>
                <w:szCs w:val="18"/>
              </w:rPr>
              <w:t>EDSS</w:t>
            </w:r>
            <w:r>
              <w:rPr>
                <w:rFonts w:ascii="Verdana" w:hAnsi="Verdana"/>
                <w:sz w:val="18"/>
                <w:szCs w:val="18"/>
              </w:rPr>
              <w:t xml:space="preserve"> (около 4,7) и нормализованный объем головного мозга </w:t>
            </w:r>
            <w:r w:rsidRPr="002712FB">
              <w:rPr>
                <w:rFonts w:ascii="Verdana" w:hAnsi="Verdana"/>
                <w:sz w:val="18"/>
                <w:szCs w:val="18"/>
              </w:rPr>
              <w:t>1467 c</w:t>
            </w:r>
            <w:r>
              <w:rPr>
                <w:rFonts w:ascii="Verdana" w:hAnsi="Verdana"/>
                <w:sz w:val="18"/>
                <w:szCs w:val="18"/>
              </w:rPr>
              <w:t>м</w:t>
            </w:r>
            <w:r w:rsidRPr="002712FB">
              <w:rPr>
                <w:rFonts w:ascii="Verdana" w:hAnsi="Verdana"/>
                <w:sz w:val="18"/>
                <w:szCs w:val="18"/>
                <w:vertAlign w:val="superscript"/>
              </w:rPr>
              <w:t>3</w:t>
            </w:r>
            <w:r>
              <w:rPr>
                <w:rFonts w:ascii="Verdana" w:hAnsi="Verdana"/>
                <w:sz w:val="18"/>
                <w:szCs w:val="18"/>
              </w:rPr>
              <w:t xml:space="preserve">. Ни в одного пациента ранее не отмечалось рецидивов. Таким образом, данная популяция являются репрезентативной по отношению к той популяции, для которой препарат предлагается зарегистрировать. </w:t>
            </w:r>
          </w:p>
        </w:tc>
      </w:tr>
      <w:tr w:rsidR="00392953" w:rsidRPr="00EC7D8B" w:rsidTr="00536891">
        <w:tc>
          <w:tcPr>
            <w:tcW w:w="3510" w:type="dxa"/>
          </w:tcPr>
          <w:p w:rsidR="00392953" w:rsidRPr="007D6D62" w:rsidRDefault="002712FB" w:rsidP="007566A9">
            <w:pPr>
              <w:jc w:val="both"/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</w:pPr>
            <w:r w:rsidRPr="007D6D62"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  <w:t xml:space="preserve">Насколько значимым для пациента из клинической точки зрения является относительное снижение риска CDP при ППРС? Результаты по CDP в исследовании ORATORIO представляются ниже, чем результаты по CDP в OPERA I </w:t>
            </w:r>
            <w:r w:rsidR="007566A9" w:rsidRPr="007D6D62"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  <w:t>и</w:t>
            </w:r>
            <w:r w:rsidRPr="007D6D62"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  <w:t xml:space="preserve"> OPERA II. </w:t>
            </w:r>
          </w:p>
        </w:tc>
        <w:tc>
          <w:tcPr>
            <w:tcW w:w="6628" w:type="dxa"/>
          </w:tcPr>
          <w:p w:rsidR="00392953" w:rsidRPr="00EC7D8B" w:rsidRDefault="007566A9" w:rsidP="000E1CB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Препарат ОКРЕВУС – первый и единственный ПИТЕРС, который показала статистически и клинически значимое снижение </w:t>
            </w:r>
            <w:r w:rsidRPr="002712FB">
              <w:rPr>
                <w:rFonts w:ascii="Verdana" w:hAnsi="Verdana"/>
                <w:sz w:val="18"/>
                <w:szCs w:val="18"/>
              </w:rPr>
              <w:t>CDP</w:t>
            </w:r>
            <w:r>
              <w:rPr>
                <w:rFonts w:ascii="Verdana" w:hAnsi="Verdana"/>
                <w:sz w:val="18"/>
                <w:szCs w:val="18"/>
              </w:rPr>
              <w:t xml:space="preserve"> по сравнению с плацебо при ППРС, для которого характерно более быстрое прогрессирование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инвалидизации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чем для РРС.</w:t>
            </w:r>
          </w:p>
        </w:tc>
      </w:tr>
      <w:tr w:rsidR="007566A9" w:rsidRPr="00EC7D8B" w:rsidTr="00064A3C">
        <w:tc>
          <w:tcPr>
            <w:tcW w:w="10138" w:type="dxa"/>
            <w:gridSpan w:val="2"/>
            <w:shd w:val="clear" w:color="auto" w:fill="DBE5F1" w:themeFill="accent1" w:themeFillTint="33"/>
          </w:tcPr>
          <w:p w:rsidR="007566A9" w:rsidRPr="007566A9" w:rsidRDefault="007566A9" w:rsidP="007566A9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7566A9">
              <w:rPr>
                <w:rFonts w:ascii="Verdana" w:hAnsi="Verdana"/>
                <w:b/>
                <w:sz w:val="18"/>
                <w:szCs w:val="18"/>
              </w:rPr>
              <w:t>HRQoL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при РРС и ППРС</w:t>
            </w:r>
          </w:p>
        </w:tc>
      </w:tr>
      <w:tr w:rsidR="00392953" w:rsidRPr="00EC7D8B" w:rsidTr="00536891">
        <w:tc>
          <w:tcPr>
            <w:tcW w:w="3510" w:type="dxa"/>
          </w:tcPr>
          <w:p w:rsidR="00392953" w:rsidRPr="007D6D62" w:rsidRDefault="007566A9" w:rsidP="007566A9">
            <w:pPr>
              <w:jc w:val="both"/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</w:pPr>
            <w:r w:rsidRPr="007D6D62"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  <w:t>На что влияют неполные данные, представлены пациентами в исследованиях OPERA I и OPERA II, а также ORATORIO, по препарату ОКРЕВУС?</w:t>
            </w:r>
          </w:p>
        </w:tc>
        <w:tc>
          <w:tcPr>
            <w:tcW w:w="6628" w:type="dxa"/>
          </w:tcPr>
          <w:p w:rsidR="00392953" w:rsidRPr="00EC7D8B" w:rsidRDefault="007566A9" w:rsidP="006A7730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Тенденция к более высокой клинической эффективности без существенного влияния на </w:t>
            </w:r>
            <w:proofErr w:type="spellStart"/>
            <w:r w:rsidRPr="007566A9">
              <w:rPr>
                <w:rFonts w:ascii="Verdana" w:hAnsi="Verdana"/>
                <w:sz w:val="18"/>
                <w:szCs w:val="18"/>
              </w:rPr>
              <w:t>HRQoL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также наблюдалась в клинических исследованиях по препаратам конкурентов и может отражать ограниченное прогрессирование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инвалидизации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за период исследования. Для препарата ОКРЕВУС было показано существенное улучшение по экспериментальной конечной точке утомляемости, по сравнению с </w:t>
            </w:r>
            <w:r w:rsidR="006A7730">
              <w:rPr>
                <w:rFonts w:ascii="Verdana" w:hAnsi="Verdana"/>
                <w:sz w:val="18"/>
                <w:szCs w:val="18"/>
              </w:rPr>
              <w:t xml:space="preserve">плацебо, при использовании </w:t>
            </w:r>
            <w:r w:rsidR="006A7730" w:rsidRPr="006A7730">
              <w:rPr>
                <w:rFonts w:ascii="Verdana" w:hAnsi="Verdana"/>
                <w:sz w:val="18"/>
                <w:szCs w:val="18"/>
              </w:rPr>
              <w:t>MFIS</w:t>
            </w:r>
            <w:r w:rsidR="006A7730">
              <w:rPr>
                <w:rFonts w:ascii="Verdana" w:hAnsi="Verdana"/>
                <w:sz w:val="18"/>
                <w:szCs w:val="18"/>
              </w:rPr>
              <w:t xml:space="preserve">. Для пациентов, получавших лечение препаратом ОКРЕВУС, было </w:t>
            </w:r>
            <w:r w:rsidR="006A7730">
              <w:rPr>
                <w:rFonts w:ascii="Verdana" w:hAnsi="Verdana"/>
                <w:sz w:val="18"/>
                <w:szCs w:val="18"/>
              </w:rPr>
              <w:lastRenderedPageBreak/>
              <w:t xml:space="preserve">показано улучшение среднего показателя </w:t>
            </w:r>
            <w:r w:rsidR="006A7730" w:rsidRPr="006A7730">
              <w:rPr>
                <w:rFonts w:ascii="Verdana" w:hAnsi="Verdana"/>
                <w:sz w:val="18"/>
                <w:szCs w:val="18"/>
              </w:rPr>
              <w:t>MFIS</w:t>
            </w:r>
            <w:r w:rsidR="006A7730">
              <w:rPr>
                <w:rFonts w:ascii="Verdana" w:hAnsi="Verdana"/>
                <w:sz w:val="18"/>
                <w:szCs w:val="18"/>
              </w:rPr>
              <w:t xml:space="preserve"> от исходного до 120 недели на 0,462 балла, в тоже время, при использовании плацебо отмечено ухудшение на 2,994 балла (</w:t>
            </w:r>
            <w:proofErr w:type="spellStart"/>
            <w:r w:rsidR="006A7730" w:rsidRPr="006A7730">
              <w:rPr>
                <w:rFonts w:ascii="Verdana" w:hAnsi="Verdana"/>
                <w:sz w:val="18"/>
                <w:szCs w:val="18"/>
              </w:rPr>
              <w:t>p</w:t>
            </w:r>
            <w:proofErr w:type="spellEnd"/>
            <w:r w:rsidR="006A7730" w:rsidRPr="006A7730">
              <w:rPr>
                <w:rFonts w:ascii="Verdana" w:hAnsi="Verdana"/>
                <w:sz w:val="18"/>
                <w:szCs w:val="18"/>
              </w:rPr>
              <w:t xml:space="preserve"> = 0.0091</w:t>
            </w:r>
            <w:r w:rsidR="006A7730">
              <w:rPr>
                <w:rFonts w:ascii="Verdana" w:hAnsi="Verdana"/>
                <w:sz w:val="18"/>
                <w:szCs w:val="18"/>
              </w:rPr>
              <w:t xml:space="preserve">). Также снижение показателем </w:t>
            </w:r>
            <w:r w:rsidR="006A7730" w:rsidRPr="006A7730">
              <w:rPr>
                <w:rFonts w:ascii="Verdana" w:hAnsi="Verdana"/>
                <w:sz w:val="18"/>
                <w:szCs w:val="18"/>
              </w:rPr>
              <w:t>MFIS</w:t>
            </w:r>
            <w:r w:rsidR="006A7730">
              <w:rPr>
                <w:rFonts w:ascii="Verdana" w:hAnsi="Verdana"/>
                <w:sz w:val="18"/>
                <w:szCs w:val="18"/>
              </w:rPr>
              <w:t xml:space="preserve"> наблюдалось во всех </w:t>
            </w:r>
            <w:proofErr w:type="spellStart"/>
            <w:r w:rsidR="006A7730">
              <w:rPr>
                <w:rFonts w:ascii="Verdana" w:hAnsi="Verdana"/>
                <w:sz w:val="18"/>
                <w:szCs w:val="18"/>
              </w:rPr>
              <w:t>подшкалах</w:t>
            </w:r>
            <w:proofErr w:type="spellEnd"/>
            <w:r w:rsidR="006A7730">
              <w:rPr>
                <w:rFonts w:ascii="Verdana" w:hAnsi="Verdana"/>
                <w:sz w:val="18"/>
                <w:szCs w:val="18"/>
              </w:rPr>
              <w:t xml:space="preserve"> (физической, когнитивной и психосоциальной). Утомляемость является достоверным и клинически значимым симптомом РС.</w:t>
            </w:r>
          </w:p>
        </w:tc>
      </w:tr>
      <w:tr w:rsidR="006A7730" w:rsidRPr="00EC7D8B" w:rsidTr="00064A3C">
        <w:tc>
          <w:tcPr>
            <w:tcW w:w="10138" w:type="dxa"/>
            <w:gridSpan w:val="2"/>
            <w:shd w:val="clear" w:color="auto" w:fill="DBE5F1" w:themeFill="accent1" w:themeFillTint="33"/>
          </w:tcPr>
          <w:p w:rsidR="006A7730" w:rsidRPr="006A7730" w:rsidRDefault="006A7730" w:rsidP="006A7730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Безопасность препарата ОКРЕВУС при РРС и ППРС</w:t>
            </w:r>
          </w:p>
        </w:tc>
      </w:tr>
      <w:tr w:rsidR="00392953" w:rsidRPr="00EC7D8B" w:rsidTr="00536891">
        <w:tc>
          <w:tcPr>
            <w:tcW w:w="3510" w:type="dxa"/>
          </w:tcPr>
          <w:p w:rsidR="00392953" w:rsidRPr="007D6D62" w:rsidRDefault="006A7730" w:rsidP="00672E0A">
            <w:pPr>
              <w:jc w:val="both"/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</w:pPr>
            <w:r w:rsidRPr="007D6D62"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  <w:t>Какие данные подтверждают заявление о том, что препарат ОКРЕВУС обладает благоприятным профилем «польза-риск»?</w:t>
            </w:r>
            <w:r w:rsidR="00672E0A" w:rsidRPr="007D6D62"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  <w:t xml:space="preserve"> В чем заключается план дальнейших исследований по долгосрочной безопасности? </w:t>
            </w:r>
          </w:p>
        </w:tc>
        <w:tc>
          <w:tcPr>
            <w:tcW w:w="6628" w:type="dxa"/>
          </w:tcPr>
          <w:p w:rsidR="00392953" w:rsidRDefault="00672E0A" w:rsidP="00672E0A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Безопасность, в целом (доля пациентов с НЯ и СНЯ, получавших препарат ОКРЕВУС в исследованиях фазы 3), была сходной с препаратом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Ребиф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в исследованиях по РРС и с плацебо в исследовании по ППРС. При применении препарата ОКРЕВУС наиболее часто отмечались такие нежелательные явления, как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инфузионные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реакции инфекции, как правило, легкой или средней степени тяжести. </w:t>
            </w:r>
          </w:p>
          <w:p w:rsidR="00672E0A" w:rsidRDefault="00672E0A" w:rsidP="00672E0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672E0A" w:rsidRPr="00EC7D8B" w:rsidRDefault="00672E0A" w:rsidP="00672E0A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В настоящее время планируется получение данных по долгосрочным безопасностям на основе открытых продолжений исследований фазы 3 по препарату ОКРЕВУС и планируется проведение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пострегистрационных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исследований в дальнейшем. </w:t>
            </w:r>
          </w:p>
        </w:tc>
      </w:tr>
      <w:tr w:rsidR="00392953" w:rsidRPr="00EC7D8B" w:rsidTr="00536891">
        <w:tc>
          <w:tcPr>
            <w:tcW w:w="3510" w:type="dxa"/>
          </w:tcPr>
          <w:p w:rsidR="00392953" w:rsidRPr="007D6D62" w:rsidRDefault="00672E0A" w:rsidP="000E1CB0">
            <w:pPr>
              <w:jc w:val="both"/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</w:pPr>
            <w:r w:rsidRPr="007D6D62"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  <w:t xml:space="preserve">Как можно объяснить отличие по числу злокачественных новообразований в группах препарата ОКРЕВУС и плацебо в исследовании  ORATORIO? </w:t>
            </w:r>
          </w:p>
        </w:tc>
        <w:tc>
          <w:tcPr>
            <w:tcW w:w="6628" w:type="dxa"/>
          </w:tcPr>
          <w:p w:rsidR="00392953" w:rsidRDefault="00672E0A" w:rsidP="00672E0A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Частота злокачественных новообразований, включая рак молочной железы, у пациентов, получавших препарат ОКРЕВУС, остается в том же диапазоне, что и при применении плацебо в клинических исследованиях по РС, и в пределах эпидемиологических данных у пациентов в этой возрастной группе. </w:t>
            </w:r>
          </w:p>
          <w:p w:rsidR="00672E0A" w:rsidRDefault="00672E0A" w:rsidP="00672E0A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672E0A" w:rsidRPr="00EC7D8B" w:rsidRDefault="00A53830" w:rsidP="00672E0A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В программе клинической разработки препарата ОКРЕВУС для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ревматоидного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артрита между группами отмечена сходная частота злокачественных новообразований в группах препарата ОКРЕВУС и плацебо. </w:t>
            </w:r>
          </w:p>
        </w:tc>
      </w:tr>
      <w:tr w:rsidR="002669D8" w:rsidRPr="00EC7D8B" w:rsidTr="00064A3C">
        <w:tc>
          <w:tcPr>
            <w:tcW w:w="10138" w:type="dxa"/>
            <w:gridSpan w:val="2"/>
            <w:shd w:val="clear" w:color="auto" w:fill="DBE5F1" w:themeFill="accent1" w:themeFillTint="33"/>
          </w:tcPr>
          <w:p w:rsidR="002669D8" w:rsidRPr="002669D8" w:rsidRDefault="002669D8" w:rsidP="002669D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Ценность отличия препарата ОКРЕВУС от </w:t>
            </w: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новых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 xml:space="preserve"> высокоэффективных ПИТЕРС при РРС</w:t>
            </w:r>
          </w:p>
        </w:tc>
      </w:tr>
      <w:tr w:rsidR="00392953" w:rsidRPr="00EC7D8B" w:rsidTr="00536891">
        <w:tc>
          <w:tcPr>
            <w:tcW w:w="3510" w:type="dxa"/>
          </w:tcPr>
          <w:p w:rsidR="00392953" w:rsidRPr="007D6D62" w:rsidRDefault="002669D8" w:rsidP="002669D8">
            <w:pPr>
              <w:jc w:val="both"/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</w:pPr>
            <w:r w:rsidRPr="007D6D62"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  <w:t xml:space="preserve">Для препарата ОКРЕВУС была показана количественно более низкая ежегодная частота рецидивов по сравнению с </w:t>
            </w:r>
            <w:proofErr w:type="gramStart"/>
            <w:r w:rsidRPr="007D6D62"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  <w:t>существующими</w:t>
            </w:r>
            <w:proofErr w:type="gramEnd"/>
            <w:r w:rsidRPr="007D6D62"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  <w:t xml:space="preserve"> высокоэффективными ПИТЕРС. Как это можно объяснить?</w:t>
            </w:r>
          </w:p>
        </w:tc>
        <w:tc>
          <w:tcPr>
            <w:tcW w:w="6628" w:type="dxa"/>
          </w:tcPr>
          <w:p w:rsidR="00392953" w:rsidRDefault="002669D8" w:rsidP="002669D8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В ряде недавно проведенных исследований было показано снижение ежегодной частоты рецидивов в контрольных группах РКИ по ПИТЕРС при РРС, что снижает возможность демонстрации улучшения этого показателя для новых методов лечения. </w:t>
            </w:r>
          </w:p>
          <w:p w:rsidR="002669D8" w:rsidRDefault="002669D8" w:rsidP="002669D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2669D8" w:rsidRPr="00EC7D8B" w:rsidRDefault="002669D8" w:rsidP="002669D8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В исследованиях </w:t>
            </w:r>
            <w:r w:rsidRPr="002712FB">
              <w:rPr>
                <w:rFonts w:ascii="Verdana" w:hAnsi="Verdana"/>
                <w:sz w:val="18"/>
                <w:szCs w:val="18"/>
              </w:rPr>
              <w:t xml:space="preserve">OPERA I </w:t>
            </w:r>
            <w:r>
              <w:rPr>
                <w:rFonts w:ascii="Verdana" w:hAnsi="Verdana"/>
                <w:sz w:val="18"/>
                <w:szCs w:val="18"/>
              </w:rPr>
              <w:t>и</w:t>
            </w:r>
            <w:r w:rsidRPr="002712FB">
              <w:rPr>
                <w:rFonts w:ascii="Verdana" w:hAnsi="Verdana"/>
                <w:sz w:val="18"/>
                <w:szCs w:val="18"/>
              </w:rPr>
              <w:t xml:space="preserve"> OPERA II</w:t>
            </w:r>
            <w:r>
              <w:rPr>
                <w:rFonts w:ascii="Verdana" w:hAnsi="Verdana"/>
                <w:sz w:val="18"/>
                <w:szCs w:val="18"/>
              </w:rPr>
              <w:t xml:space="preserve"> было показано снижение ежегодной частоты рецидивов на 46,5% в группе препарата ОКРЕВУС, по сравнению с группой препарата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Ребиф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, который, в целом, рассматривается как наиболее эффективное среди всех интерферонов для лечения РРС.  </w:t>
            </w:r>
            <w:proofErr w:type="gramStart"/>
            <w:r>
              <w:rPr>
                <w:rFonts w:ascii="Verdana" w:hAnsi="Verdana"/>
                <w:sz w:val="18"/>
                <w:szCs w:val="18"/>
              </w:rPr>
              <w:t xml:space="preserve">В сетевом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метаанализе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было показано, что препарат ОКРЕВУС, вероятно, является наиболее эффективным методом лечением в отношении снижения частоты рецидивов. </w:t>
            </w:r>
            <w:proofErr w:type="gramEnd"/>
          </w:p>
        </w:tc>
      </w:tr>
      <w:tr w:rsidR="002669D8" w:rsidRPr="00EC7D8B" w:rsidTr="00064A3C">
        <w:tc>
          <w:tcPr>
            <w:tcW w:w="10138" w:type="dxa"/>
            <w:gridSpan w:val="2"/>
            <w:shd w:val="clear" w:color="auto" w:fill="DBE5F1" w:themeFill="accent1" w:themeFillTint="33"/>
          </w:tcPr>
          <w:p w:rsidR="002669D8" w:rsidRPr="002669D8" w:rsidRDefault="002669D8" w:rsidP="002669D8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Сравнение препарата ОКРЕВУС и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Ритуксимаба</w:t>
            </w:r>
            <w:r w:rsidRPr="002669D8">
              <w:rPr>
                <w:rFonts w:ascii="Verdana" w:hAnsi="Verdana"/>
                <w:b/>
                <w:sz w:val="18"/>
                <w:szCs w:val="18"/>
                <w:vertAlign w:val="superscript"/>
              </w:rPr>
              <w:t>М</w:t>
            </w:r>
            <w:proofErr w:type="spellEnd"/>
          </w:p>
        </w:tc>
      </w:tr>
      <w:tr w:rsidR="002669D8" w:rsidRPr="00EC7D8B" w:rsidTr="00536891">
        <w:tc>
          <w:tcPr>
            <w:tcW w:w="3510" w:type="dxa"/>
          </w:tcPr>
          <w:p w:rsidR="002669D8" w:rsidRPr="007D6D62" w:rsidRDefault="002669D8" w:rsidP="000E1CB0">
            <w:pPr>
              <w:jc w:val="both"/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</w:pPr>
            <w:r w:rsidRPr="007D6D62"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  <w:t xml:space="preserve"> В чем заключается различие между препаратами ОКРЕВУС и </w:t>
            </w:r>
            <w:proofErr w:type="spellStart"/>
            <w:r w:rsidRPr="007D6D62"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  <w:t>Ритуксимабом</w:t>
            </w:r>
            <w:proofErr w:type="spellEnd"/>
            <w:r w:rsidRPr="007D6D62"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  <w:t xml:space="preserve">? </w:t>
            </w:r>
          </w:p>
        </w:tc>
        <w:tc>
          <w:tcPr>
            <w:tcW w:w="6628" w:type="dxa"/>
          </w:tcPr>
          <w:p w:rsidR="002669D8" w:rsidRDefault="00320A91" w:rsidP="00320A91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И ОКРЕВУС, и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Ритуксимаб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действуют на </w:t>
            </w:r>
            <w:r w:rsidRPr="00320A91">
              <w:rPr>
                <w:rFonts w:ascii="Verdana" w:hAnsi="Verdana"/>
                <w:sz w:val="18"/>
                <w:szCs w:val="18"/>
              </w:rPr>
              <w:t>CD20+ B</w:t>
            </w:r>
            <w:r>
              <w:rPr>
                <w:rFonts w:ascii="Verdana" w:hAnsi="Verdana"/>
                <w:sz w:val="18"/>
                <w:szCs w:val="18"/>
              </w:rPr>
              <w:t xml:space="preserve">-клетки.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Ритуксимаб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представляет собой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химерные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моноклональные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антитела (</w:t>
            </w:r>
            <w:proofErr w:type="spellStart"/>
            <w:r w:rsidRPr="00320A91">
              <w:rPr>
                <w:rFonts w:ascii="Verdana" w:hAnsi="Verdana"/>
                <w:sz w:val="18"/>
                <w:szCs w:val="18"/>
              </w:rPr>
              <w:t>mAb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), а препарат ОКРЕВУС –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рекомбинантные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гуманизированные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моноклональные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антитела. </w:t>
            </w:r>
          </w:p>
          <w:p w:rsidR="00320A91" w:rsidRDefault="00320A91" w:rsidP="00320A9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20A91" w:rsidRPr="00EC7D8B" w:rsidRDefault="00320A91" w:rsidP="00320A91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По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сравнеию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химерными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моноклональными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антителами, 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гуманизированные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, например ОКРЕВУС, ассоциируются с меньшим риском иммуногенности. Иммуногенность может привести к снижению эффективности с течением времени.</w:t>
            </w:r>
          </w:p>
        </w:tc>
      </w:tr>
      <w:tr w:rsidR="00392953" w:rsidRPr="00EC7D8B" w:rsidTr="00536891">
        <w:tc>
          <w:tcPr>
            <w:tcW w:w="3510" w:type="dxa"/>
          </w:tcPr>
          <w:p w:rsidR="00392953" w:rsidRPr="007D6D62" w:rsidRDefault="00320A91" w:rsidP="000E1CB0">
            <w:pPr>
              <w:jc w:val="both"/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</w:pPr>
            <w:r w:rsidRPr="007D6D62"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  <w:t xml:space="preserve">Почему компания </w:t>
            </w:r>
            <w:proofErr w:type="spellStart"/>
            <w:r w:rsidRPr="007D6D62"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  <w:t>Roche</w:t>
            </w:r>
            <w:proofErr w:type="spellEnd"/>
            <w:r w:rsidRPr="007D6D62"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  <w:t xml:space="preserve"> решила разрабатывать именно препарат ОКРЕВУС, а не </w:t>
            </w:r>
            <w:proofErr w:type="spellStart"/>
            <w:r w:rsidRPr="007D6D62"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  <w:t>Ритуксимаб</w:t>
            </w:r>
            <w:proofErr w:type="spellEnd"/>
            <w:r w:rsidRPr="007D6D62">
              <w:rPr>
                <w:rFonts w:ascii="Verdana" w:hAnsi="Verdana"/>
                <w:b/>
                <w:color w:val="984806" w:themeColor="accent6" w:themeShade="80"/>
                <w:sz w:val="18"/>
                <w:szCs w:val="18"/>
              </w:rPr>
              <w:t xml:space="preserve"> для лечения РС?</w:t>
            </w:r>
          </w:p>
        </w:tc>
        <w:tc>
          <w:tcPr>
            <w:tcW w:w="6628" w:type="dxa"/>
          </w:tcPr>
          <w:p w:rsidR="00320A91" w:rsidRDefault="00320A91" w:rsidP="00320A91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Поскольку, препарат ОКРЕВУС практически полностью состоит из человеческого белка, он соответствует  потребностям пациентов с хроническими аутоиммунными заболеваниями.</w:t>
            </w:r>
          </w:p>
          <w:p w:rsidR="00320A91" w:rsidRDefault="00320A91" w:rsidP="00320A9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20A91" w:rsidRDefault="00320A91" w:rsidP="00320A91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Препарат ОКРЕВУС оптимизирован для долгосрочного применения при РС, и компания </w:t>
            </w:r>
            <w:proofErr w:type="spellStart"/>
            <w:r w:rsidRPr="00320A91">
              <w:rPr>
                <w:rFonts w:ascii="Verdana" w:hAnsi="Verdana"/>
                <w:sz w:val="18"/>
                <w:szCs w:val="18"/>
              </w:rPr>
              <w:t>Roche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полагает, что он может занять важное место в схемах лечения этого заболевания. </w:t>
            </w:r>
          </w:p>
          <w:p w:rsidR="00320A91" w:rsidRDefault="00320A91" w:rsidP="00320A91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392953" w:rsidRPr="00EC7D8B" w:rsidRDefault="00320A91" w:rsidP="00320A91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="00536891" w:rsidRDefault="00064A3C" w:rsidP="000E1CB0">
      <w:pPr>
        <w:spacing w:after="0"/>
        <w:ind w:firstLine="567"/>
        <w:jc w:val="both"/>
        <w:rPr>
          <w:rFonts w:ascii="Verdana" w:hAnsi="Verdana"/>
          <w:i/>
          <w:sz w:val="16"/>
          <w:szCs w:val="20"/>
        </w:rPr>
      </w:pPr>
      <w:r w:rsidRPr="00064A3C">
        <w:rPr>
          <w:rFonts w:ascii="Verdana" w:hAnsi="Verdana"/>
          <w:i/>
          <w:sz w:val="16"/>
          <w:szCs w:val="20"/>
          <w:vertAlign w:val="superscript"/>
        </w:rPr>
        <w:t>М</w:t>
      </w:r>
      <w:r w:rsidRPr="00064A3C">
        <w:rPr>
          <w:rFonts w:ascii="Verdana" w:hAnsi="Verdana"/>
          <w:i/>
          <w:sz w:val="16"/>
          <w:szCs w:val="20"/>
        </w:rPr>
        <w:t xml:space="preserve"> – в настоящее время разрабатывается подробное руководство по вопросам и ответам в отношении сравнения препарата ОКРЕВУС и </w:t>
      </w:r>
      <w:proofErr w:type="spellStart"/>
      <w:r w:rsidRPr="00064A3C">
        <w:rPr>
          <w:rFonts w:ascii="Verdana" w:hAnsi="Verdana"/>
          <w:i/>
          <w:sz w:val="16"/>
          <w:szCs w:val="20"/>
        </w:rPr>
        <w:t>Ритуксимаба</w:t>
      </w:r>
      <w:proofErr w:type="spellEnd"/>
      <w:r w:rsidRPr="00064A3C">
        <w:rPr>
          <w:rFonts w:ascii="Verdana" w:hAnsi="Verdana"/>
          <w:i/>
          <w:sz w:val="16"/>
          <w:szCs w:val="20"/>
        </w:rPr>
        <w:t xml:space="preserve">. Оно будет представлено в третьем квартале 2016 года. </w:t>
      </w:r>
    </w:p>
    <w:p w:rsidR="00064A3C" w:rsidRDefault="00064A3C" w:rsidP="000E1CB0">
      <w:pPr>
        <w:spacing w:after="0"/>
        <w:ind w:firstLine="567"/>
        <w:jc w:val="both"/>
        <w:rPr>
          <w:rFonts w:ascii="Verdana" w:hAnsi="Verdana"/>
          <w:sz w:val="16"/>
          <w:szCs w:val="20"/>
        </w:rPr>
      </w:pPr>
    </w:p>
    <w:p w:rsidR="007D6D62" w:rsidRDefault="007D6D62" w:rsidP="000E1CB0">
      <w:pPr>
        <w:spacing w:after="0"/>
        <w:ind w:firstLine="567"/>
        <w:jc w:val="both"/>
        <w:rPr>
          <w:rFonts w:ascii="Verdana" w:hAnsi="Verdana"/>
          <w:sz w:val="16"/>
          <w:szCs w:val="20"/>
        </w:rPr>
      </w:pPr>
    </w:p>
    <w:p w:rsidR="007D6D62" w:rsidRDefault="007D6D62" w:rsidP="000E1CB0">
      <w:pPr>
        <w:spacing w:after="0"/>
        <w:ind w:firstLine="567"/>
        <w:jc w:val="both"/>
        <w:rPr>
          <w:rFonts w:ascii="Verdana" w:hAnsi="Verdana"/>
          <w:sz w:val="16"/>
          <w:szCs w:val="20"/>
        </w:rPr>
      </w:pPr>
    </w:p>
    <w:p w:rsidR="007D6D62" w:rsidRDefault="007D6D62" w:rsidP="000E1CB0">
      <w:pPr>
        <w:spacing w:after="0"/>
        <w:ind w:firstLine="567"/>
        <w:jc w:val="both"/>
        <w:rPr>
          <w:rFonts w:ascii="Verdana" w:hAnsi="Verdana"/>
          <w:sz w:val="16"/>
          <w:szCs w:val="20"/>
        </w:rPr>
      </w:pPr>
    </w:p>
    <w:p w:rsidR="007D6D62" w:rsidRDefault="007D6D62" w:rsidP="000E1CB0">
      <w:pPr>
        <w:spacing w:after="0"/>
        <w:ind w:firstLine="567"/>
        <w:jc w:val="both"/>
        <w:rPr>
          <w:rFonts w:ascii="Verdana" w:hAnsi="Verdana"/>
          <w:sz w:val="16"/>
          <w:szCs w:val="20"/>
        </w:rPr>
      </w:pPr>
    </w:p>
    <w:p w:rsidR="007D6D62" w:rsidRDefault="007D6D62" w:rsidP="000E1CB0">
      <w:pPr>
        <w:spacing w:after="0"/>
        <w:ind w:firstLine="567"/>
        <w:jc w:val="both"/>
        <w:rPr>
          <w:rFonts w:ascii="Verdana" w:hAnsi="Verdana"/>
          <w:sz w:val="16"/>
          <w:szCs w:val="20"/>
        </w:rPr>
      </w:pPr>
    </w:p>
    <w:p w:rsidR="007D6D62" w:rsidRDefault="007D6D62" w:rsidP="000E1CB0">
      <w:pPr>
        <w:spacing w:after="0"/>
        <w:ind w:firstLine="567"/>
        <w:jc w:val="both"/>
        <w:rPr>
          <w:rFonts w:ascii="Verdana" w:hAnsi="Verdana"/>
          <w:b/>
          <w:sz w:val="20"/>
          <w:szCs w:val="20"/>
        </w:rPr>
      </w:pPr>
      <w:r w:rsidRPr="007D6D62">
        <w:rPr>
          <w:rFonts w:ascii="Verdana" w:hAnsi="Verdana"/>
          <w:b/>
          <w:sz w:val="20"/>
          <w:szCs w:val="20"/>
        </w:rPr>
        <w:lastRenderedPageBreak/>
        <w:t>8. СПИСОК СОКРАЩЕНИЙ</w:t>
      </w:r>
    </w:p>
    <w:p w:rsidR="007D6D62" w:rsidRPr="007D6D62" w:rsidRDefault="007D6D62" w:rsidP="000E1CB0">
      <w:pPr>
        <w:spacing w:after="0"/>
        <w:ind w:firstLine="567"/>
        <w:jc w:val="both"/>
        <w:rPr>
          <w:rFonts w:ascii="Verdana" w:hAnsi="Verdana"/>
          <w:b/>
          <w:sz w:val="20"/>
          <w:szCs w:val="20"/>
        </w:rPr>
      </w:pPr>
    </w:p>
    <w:tbl>
      <w:tblPr>
        <w:tblW w:w="10207" w:type="dxa"/>
        <w:tblInd w:w="141" w:type="dxa"/>
        <w:tblBorders>
          <w:top w:val="single" w:sz="4" w:space="0" w:color="5F6EB3"/>
          <w:left w:val="single" w:sz="4" w:space="0" w:color="5F6EB3"/>
          <w:bottom w:val="single" w:sz="4" w:space="0" w:color="5F6EB3"/>
          <w:right w:val="single" w:sz="4" w:space="0" w:color="5F6EB3"/>
          <w:insideH w:val="single" w:sz="4" w:space="0" w:color="5F6EB3"/>
          <w:insideV w:val="single" w:sz="4" w:space="0" w:color="5F6EB3"/>
        </w:tblBorders>
        <w:tblLayout w:type="fixed"/>
        <w:tblCellMar>
          <w:left w:w="283" w:type="dxa"/>
          <w:right w:w="283" w:type="dxa"/>
        </w:tblCellMar>
        <w:tblLook w:val="0000"/>
      </w:tblPr>
      <w:tblGrid>
        <w:gridCol w:w="2127"/>
        <w:gridCol w:w="8080"/>
      </w:tblGrid>
      <w:tr w:rsidR="00335923" w:rsidRPr="007D6D62" w:rsidTr="00901F0D">
        <w:tc>
          <w:tcPr>
            <w:tcW w:w="2127" w:type="dxa"/>
          </w:tcPr>
          <w:p w:rsidR="00335923" w:rsidRPr="007D6D62" w:rsidRDefault="00335923" w:rsidP="007D6D62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r w:rsidRPr="007D6D62">
              <w:rPr>
                <w:rFonts w:ascii="Verdana" w:hAnsi="Verdana" w:cs="Arial"/>
                <w:sz w:val="20"/>
                <w:szCs w:val="20"/>
                <w:lang w:val="en-GB" w:eastAsia="de-DE"/>
              </w:rPr>
              <w:t>ABCR</w:t>
            </w:r>
          </w:p>
        </w:tc>
        <w:tc>
          <w:tcPr>
            <w:tcW w:w="8080" w:type="dxa"/>
          </w:tcPr>
          <w:p w:rsidR="00335923" w:rsidRPr="007D6D62" w:rsidRDefault="00335923" w:rsidP="007D6D62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Авонекс</w:t>
            </w:r>
            <w:proofErr w:type="spellEnd"/>
            <w:r w:rsidRPr="007D6D62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Бетасерон</w:t>
            </w:r>
            <w:proofErr w:type="spellEnd"/>
            <w:r w:rsidRPr="007D6D62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Копаксон</w:t>
            </w:r>
            <w:proofErr w:type="spellEnd"/>
            <w:r w:rsidRPr="007D6D62">
              <w:rPr>
                <w:rFonts w:ascii="Verdana" w:hAnsi="Verdana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Ребиф</w:t>
            </w:r>
            <w:proofErr w:type="spellEnd"/>
            <w:r w:rsidRPr="007D6D62">
              <w:rPr>
                <w:rFonts w:ascii="Verdana" w:hAnsi="Verdana" w:cs="Arial"/>
                <w:sz w:val="20"/>
                <w:szCs w:val="20"/>
                <w:lang w:eastAsia="de-DE"/>
              </w:rPr>
              <w:t xml:space="preserve">,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eastAsia="de-DE"/>
              </w:rPr>
              <w:t>Экставиа</w:t>
            </w:r>
            <w:proofErr w:type="spellEnd"/>
            <w:r w:rsidRPr="007D6D62">
              <w:rPr>
                <w:rFonts w:ascii="Verdana" w:hAnsi="Verdana" w:cs="Arial"/>
                <w:sz w:val="20"/>
                <w:szCs w:val="20"/>
                <w:lang w:eastAsia="de-DE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  <w:lang w:eastAsia="de-DE"/>
              </w:rPr>
              <w:t>и</w:t>
            </w:r>
            <w:r w:rsidRPr="007D6D62">
              <w:rPr>
                <w:rFonts w:ascii="Verdana" w:hAnsi="Verdana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D6D62">
              <w:rPr>
                <w:rFonts w:ascii="Verdana" w:hAnsi="Verdana" w:cs="Arial"/>
                <w:sz w:val="20"/>
                <w:szCs w:val="20"/>
                <w:lang w:val="en-GB" w:eastAsia="de-DE"/>
              </w:rPr>
              <w:t>Plegridy</w:t>
            </w:r>
            <w:proofErr w:type="spellEnd"/>
          </w:p>
        </w:tc>
      </w:tr>
      <w:tr w:rsidR="00335923" w:rsidRPr="007D6D62" w:rsidTr="00901F0D">
        <w:tc>
          <w:tcPr>
            <w:tcW w:w="2127" w:type="dxa"/>
          </w:tcPr>
          <w:p w:rsidR="00335923" w:rsidRPr="007D6D62" w:rsidRDefault="00335923" w:rsidP="007D6D62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r w:rsidRPr="007D6D62">
              <w:rPr>
                <w:rFonts w:ascii="Verdana" w:hAnsi="Verdana" w:cs="Arial"/>
                <w:sz w:val="20"/>
                <w:szCs w:val="20"/>
                <w:lang w:val="en-GB" w:eastAsia="de-DE"/>
              </w:rPr>
              <w:t>ABN</w:t>
            </w:r>
          </w:p>
        </w:tc>
        <w:tc>
          <w:tcPr>
            <w:tcW w:w="8080" w:type="dxa"/>
          </w:tcPr>
          <w:p w:rsidR="00335923" w:rsidRPr="007D6D62" w:rsidRDefault="00335923" w:rsidP="007D6D62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Ассоциация неврологов Великобритании</w:t>
            </w:r>
          </w:p>
        </w:tc>
      </w:tr>
      <w:tr w:rsidR="00335923" w:rsidRPr="007D6D62" w:rsidTr="00901F0D">
        <w:tc>
          <w:tcPr>
            <w:tcW w:w="2127" w:type="dxa"/>
          </w:tcPr>
          <w:p w:rsidR="00335923" w:rsidRPr="007D6D62" w:rsidRDefault="00335923" w:rsidP="007D6D62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r w:rsidRPr="007D6D62">
              <w:rPr>
                <w:rFonts w:ascii="Verdana" w:hAnsi="Verdana" w:cs="Arial"/>
                <w:sz w:val="20"/>
                <w:szCs w:val="20"/>
                <w:lang w:val="en-GB" w:eastAsia="de-DE"/>
              </w:rPr>
              <w:t>ADA</w:t>
            </w:r>
          </w:p>
        </w:tc>
        <w:tc>
          <w:tcPr>
            <w:tcW w:w="8080" w:type="dxa"/>
          </w:tcPr>
          <w:p w:rsidR="00335923" w:rsidRPr="007D6D62" w:rsidRDefault="00335923" w:rsidP="007D6D62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>Антитела к лекарственному средству</w:t>
            </w:r>
          </w:p>
        </w:tc>
      </w:tr>
      <w:tr w:rsidR="00335923" w:rsidRPr="007D6D62" w:rsidTr="00901F0D">
        <w:tc>
          <w:tcPr>
            <w:tcW w:w="2127" w:type="dxa"/>
          </w:tcPr>
          <w:p w:rsidR="00335923" w:rsidRPr="007D6D62" w:rsidRDefault="00335923" w:rsidP="007D6D62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r w:rsidRPr="007D6D62">
              <w:rPr>
                <w:rFonts w:ascii="Verdana" w:hAnsi="Verdana" w:cs="Arial"/>
                <w:sz w:val="20"/>
                <w:szCs w:val="20"/>
                <w:lang w:val="en-GB" w:eastAsia="de-DE"/>
              </w:rPr>
              <w:t>AED</w:t>
            </w:r>
          </w:p>
        </w:tc>
        <w:tc>
          <w:tcPr>
            <w:tcW w:w="8080" w:type="dxa"/>
          </w:tcPr>
          <w:p w:rsidR="00335923" w:rsidRPr="007D6D62" w:rsidRDefault="00335923" w:rsidP="007D6D62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>Досье, содержащее доказательные данные для доступа на рынок</w:t>
            </w:r>
          </w:p>
        </w:tc>
      </w:tr>
      <w:tr w:rsidR="00335923" w:rsidRPr="007D6D62" w:rsidTr="00901F0D">
        <w:tc>
          <w:tcPr>
            <w:tcW w:w="2127" w:type="dxa"/>
          </w:tcPr>
          <w:p w:rsidR="00335923" w:rsidRPr="007D6D62" w:rsidRDefault="00335923" w:rsidP="007D6D62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r w:rsidRPr="007D6D62">
              <w:rPr>
                <w:rFonts w:ascii="Verdana" w:hAnsi="Verdana" w:cs="Arial"/>
                <w:sz w:val="20"/>
                <w:szCs w:val="20"/>
                <w:lang w:val="en-GB" w:eastAsia="de-DE"/>
              </w:rPr>
              <w:t>ARR</w:t>
            </w:r>
          </w:p>
        </w:tc>
        <w:tc>
          <w:tcPr>
            <w:tcW w:w="8080" w:type="dxa"/>
          </w:tcPr>
          <w:p w:rsidR="00335923" w:rsidRPr="007D6D62" w:rsidRDefault="00335923" w:rsidP="007D6D62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Ежегодная частота рецидивов</w:t>
            </w:r>
          </w:p>
        </w:tc>
      </w:tr>
      <w:tr w:rsidR="00335923" w:rsidRPr="007D6D62" w:rsidTr="00901F0D">
        <w:tc>
          <w:tcPr>
            <w:tcW w:w="2127" w:type="dxa"/>
          </w:tcPr>
          <w:p w:rsidR="00335923" w:rsidRPr="007D6D62" w:rsidRDefault="00335923" w:rsidP="007D6D62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r w:rsidRPr="007D6D62">
              <w:rPr>
                <w:rFonts w:ascii="Verdana" w:hAnsi="Verdana" w:cs="Arial"/>
                <w:sz w:val="20"/>
                <w:szCs w:val="20"/>
                <w:lang w:val="en-GB" w:eastAsia="de-DE"/>
              </w:rPr>
              <w:t>BIM</w:t>
            </w:r>
          </w:p>
        </w:tc>
        <w:tc>
          <w:tcPr>
            <w:tcW w:w="8080" w:type="dxa"/>
          </w:tcPr>
          <w:p w:rsidR="00335923" w:rsidRPr="007D6D62" w:rsidRDefault="00335923" w:rsidP="007D6D62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>Модель влияния на бюджет</w:t>
            </w:r>
          </w:p>
        </w:tc>
      </w:tr>
      <w:tr w:rsidR="00335923" w:rsidRPr="007D6D62" w:rsidTr="00901F0D">
        <w:tc>
          <w:tcPr>
            <w:tcW w:w="2127" w:type="dxa"/>
          </w:tcPr>
          <w:p w:rsidR="00335923" w:rsidRPr="007D6D62" w:rsidRDefault="00335923" w:rsidP="007D6D62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r w:rsidRPr="007D6D62">
              <w:rPr>
                <w:rFonts w:ascii="Verdana" w:hAnsi="Verdana" w:cs="Arial"/>
                <w:sz w:val="20"/>
                <w:szCs w:val="20"/>
                <w:lang w:val="en-GB" w:eastAsia="de-DE"/>
              </w:rPr>
              <w:t>CDER</w:t>
            </w:r>
          </w:p>
        </w:tc>
        <w:tc>
          <w:tcPr>
            <w:tcW w:w="8080" w:type="dxa"/>
          </w:tcPr>
          <w:p w:rsidR="00335923" w:rsidRPr="007D6D62" w:rsidRDefault="00335923" w:rsidP="007D6D62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>Государственный экспертный центр</w:t>
            </w:r>
          </w:p>
        </w:tc>
      </w:tr>
      <w:tr w:rsidR="00335923" w:rsidRPr="007D6D62" w:rsidTr="00901F0D">
        <w:tc>
          <w:tcPr>
            <w:tcW w:w="2127" w:type="dxa"/>
          </w:tcPr>
          <w:p w:rsidR="00335923" w:rsidRPr="007D6D62" w:rsidRDefault="00335923" w:rsidP="007D6D62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r w:rsidRPr="007D6D62">
              <w:rPr>
                <w:rFonts w:ascii="Verdana" w:hAnsi="Verdana" w:cs="Arial"/>
                <w:sz w:val="20"/>
                <w:szCs w:val="20"/>
                <w:lang w:val="en-GB" w:eastAsia="de-DE"/>
              </w:rPr>
              <w:t>CDI</w:t>
            </w:r>
          </w:p>
        </w:tc>
        <w:tc>
          <w:tcPr>
            <w:tcW w:w="8080" w:type="dxa"/>
          </w:tcPr>
          <w:p w:rsidR="00335923" w:rsidRPr="007D6D62" w:rsidRDefault="00335923" w:rsidP="007D6D62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 xml:space="preserve">Подтвержденное улучшение в отношении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eastAsia="de-DE"/>
              </w:rPr>
              <w:t>инвалидизации</w:t>
            </w:r>
            <w:proofErr w:type="spellEnd"/>
          </w:p>
        </w:tc>
      </w:tr>
      <w:tr w:rsidR="00335923" w:rsidRPr="007D6D62" w:rsidTr="00901F0D">
        <w:tc>
          <w:tcPr>
            <w:tcW w:w="2127" w:type="dxa"/>
          </w:tcPr>
          <w:p w:rsidR="00335923" w:rsidRPr="007D6D62" w:rsidRDefault="00335923" w:rsidP="007D6D62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r w:rsidRPr="007D6D62">
              <w:rPr>
                <w:rFonts w:ascii="Verdana" w:hAnsi="Verdana" w:cs="Arial"/>
                <w:sz w:val="20"/>
                <w:szCs w:val="20"/>
                <w:lang w:val="en-GB" w:eastAsia="de-DE"/>
              </w:rPr>
              <w:t>CDP</w:t>
            </w:r>
          </w:p>
        </w:tc>
        <w:tc>
          <w:tcPr>
            <w:tcW w:w="8080" w:type="dxa"/>
          </w:tcPr>
          <w:p w:rsidR="00335923" w:rsidRPr="007D6D62" w:rsidRDefault="00335923" w:rsidP="007D6D62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Прогрессирование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клинической</w:t>
            </w:r>
            <w:proofErr w:type="gramEnd"/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инвалидизации</w:t>
            </w:r>
            <w:proofErr w:type="spellEnd"/>
          </w:p>
        </w:tc>
      </w:tr>
      <w:tr w:rsidR="00335923" w:rsidRPr="007D6D62" w:rsidTr="00901F0D">
        <w:tc>
          <w:tcPr>
            <w:tcW w:w="2127" w:type="dxa"/>
          </w:tcPr>
          <w:p w:rsidR="00335923" w:rsidRPr="007D6D62" w:rsidRDefault="00335923" w:rsidP="007D6D62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r w:rsidRPr="007D6D62">
              <w:rPr>
                <w:rFonts w:ascii="Verdana" w:hAnsi="Verdana" w:cs="Arial"/>
                <w:sz w:val="20"/>
                <w:szCs w:val="20"/>
                <w:lang w:val="en-GB" w:eastAsia="de-DE"/>
              </w:rPr>
              <w:t>CHMP</w:t>
            </w:r>
          </w:p>
        </w:tc>
        <w:tc>
          <w:tcPr>
            <w:tcW w:w="8080" w:type="dxa"/>
          </w:tcPr>
          <w:p w:rsidR="00335923" w:rsidRPr="007D6D62" w:rsidRDefault="00335923" w:rsidP="007D6D62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Комитет по лекарственным средствам для человека</w:t>
            </w:r>
          </w:p>
        </w:tc>
      </w:tr>
      <w:tr w:rsidR="00335923" w:rsidRPr="007D6D62" w:rsidTr="00901F0D">
        <w:tc>
          <w:tcPr>
            <w:tcW w:w="2127" w:type="dxa"/>
          </w:tcPr>
          <w:p w:rsidR="00335923" w:rsidRPr="007D6D62" w:rsidRDefault="00335923" w:rsidP="007D6D62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r w:rsidRPr="007D6D62">
              <w:rPr>
                <w:rFonts w:ascii="Verdana" w:hAnsi="Verdana" w:cs="Arial"/>
                <w:sz w:val="20"/>
                <w:szCs w:val="20"/>
                <w:lang w:val="en-GB" w:eastAsia="de-DE"/>
              </w:rPr>
              <w:t>CI</w:t>
            </w:r>
          </w:p>
        </w:tc>
        <w:tc>
          <w:tcPr>
            <w:tcW w:w="8080" w:type="dxa"/>
          </w:tcPr>
          <w:p w:rsidR="00335923" w:rsidRPr="007D6D62" w:rsidRDefault="00335923" w:rsidP="007D6D62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Доверительный интервал</w:t>
            </w:r>
          </w:p>
        </w:tc>
      </w:tr>
      <w:tr w:rsidR="00335923" w:rsidRPr="00901F0D" w:rsidTr="00901F0D">
        <w:tc>
          <w:tcPr>
            <w:tcW w:w="2127" w:type="dxa"/>
          </w:tcPr>
          <w:p w:rsidR="00335923" w:rsidRPr="007D6D62" w:rsidRDefault="00335923" w:rsidP="007D6D62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r w:rsidRPr="007D6D62">
              <w:rPr>
                <w:rFonts w:ascii="Verdana" w:hAnsi="Verdana" w:cs="Arial"/>
                <w:sz w:val="20"/>
                <w:szCs w:val="20"/>
                <w:lang w:val="en-GB" w:eastAsia="de-DE"/>
              </w:rPr>
              <w:t>EDSS</w:t>
            </w:r>
          </w:p>
        </w:tc>
        <w:tc>
          <w:tcPr>
            <w:tcW w:w="8080" w:type="dxa"/>
            <w:vAlign w:val="center"/>
          </w:tcPr>
          <w:p w:rsidR="00335923" w:rsidRPr="00901F0D" w:rsidRDefault="00335923" w:rsidP="007D6D62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Расширенная шкала оценки степени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инвалидизации</w:t>
            </w:r>
            <w:proofErr w:type="spellEnd"/>
          </w:p>
        </w:tc>
      </w:tr>
      <w:tr w:rsidR="00335923" w:rsidRPr="007D6D62" w:rsidTr="00901F0D">
        <w:tc>
          <w:tcPr>
            <w:tcW w:w="2127" w:type="dxa"/>
          </w:tcPr>
          <w:p w:rsidR="00335923" w:rsidRPr="007D6D62" w:rsidRDefault="00335923" w:rsidP="007D6D62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r w:rsidRPr="007D6D62">
              <w:rPr>
                <w:rFonts w:ascii="Verdana" w:hAnsi="Verdana" w:cs="Arial"/>
                <w:sz w:val="20"/>
                <w:szCs w:val="20"/>
                <w:lang w:val="en-GB" w:eastAsia="de-DE"/>
              </w:rPr>
              <w:t>EMA</w:t>
            </w:r>
          </w:p>
        </w:tc>
        <w:tc>
          <w:tcPr>
            <w:tcW w:w="8080" w:type="dxa"/>
          </w:tcPr>
          <w:p w:rsidR="00335923" w:rsidRPr="00901F0D" w:rsidRDefault="00335923" w:rsidP="007D6D62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>Европейское агентство по лекарственным препаратам</w:t>
            </w:r>
          </w:p>
        </w:tc>
      </w:tr>
      <w:tr w:rsidR="00335923" w:rsidRPr="007D6D62" w:rsidTr="00901F0D">
        <w:tc>
          <w:tcPr>
            <w:tcW w:w="2127" w:type="dxa"/>
          </w:tcPr>
          <w:p w:rsidR="00335923" w:rsidRPr="007D6D62" w:rsidRDefault="00335923" w:rsidP="007D6D62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r w:rsidRPr="007D6D62">
              <w:rPr>
                <w:rFonts w:ascii="Verdana" w:hAnsi="Verdana" w:cs="Arial"/>
                <w:sz w:val="20"/>
                <w:szCs w:val="20"/>
                <w:lang w:val="en-GB" w:eastAsia="de-DE"/>
              </w:rPr>
              <w:t>FDA</w:t>
            </w:r>
          </w:p>
        </w:tc>
        <w:tc>
          <w:tcPr>
            <w:tcW w:w="8080" w:type="dxa"/>
          </w:tcPr>
          <w:p w:rsidR="00335923" w:rsidRPr="00901F0D" w:rsidRDefault="00335923" w:rsidP="00901F0D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 xml:space="preserve">Управление по </w:t>
            </w:r>
            <w:proofErr w:type="gramStart"/>
            <w:r>
              <w:rPr>
                <w:rFonts w:ascii="Verdana" w:hAnsi="Verdana" w:cs="Arial"/>
                <w:sz w:val="20"/>
                <w:szCs w:val="20"/>
                <w:lang w:eastAsia="de-DE"/>
              </w:rPr>
              <w:t>контролю за</w:t>
            </w:r>
            <w:proofErr w:type="gramEnd"/>
            <w:r>
              <w:rPr>
                <w:rFonts w:ascii="Verdana" w:hAnsi="Verdana" w:cs="Arial"/>
                <w:sz w:val="20"/>
                <w:szCs w:val="20"/>
                <w:lang w:eastAsia="de-DE"/>
              </w:rPr>
              <w:t xml:space="preserve"> продуктами питания и лекарственными средствами</w:t>
            </w:r>
          </w:p>
        </w:tc>
      </w:tr>
      <w:tr w:rsidR="00335923" w:rsidRPr="007D6D62" w:rsidTr="00901F0D">
        <w:tc>
          <w:tcPr>
            <w:tcW w:w="2127" w:type="dxa"/>
          </w:tcPr>
          <w:p w:rsidR="00335923" w:rsidRPr="007D6D62" w:rsidRDefault="00335923" w:rsidP="007D6D62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proofErr w:type="spellStart"/>
            <w:r w:rsidRPr="007D6D62">
              <w:rPr>
                <w:rFonts w:ascii="Verdana" w:hAnsi="Verdana" w:cs="Arial"/>
                <w:sz w:val="20"/>
                <w:szCs w:val="20"/>
                <w:lang w:val="en-GB" w:eastAsia="de-DE"/>
              </w:rPr>
              <w:t>Gd</w:t>
            </w:r>
            <w:proofErr w:type="spellEnd"/>
          </w:p>
        </w:tc>
        <w:tc>
          <w:tcPr>
            <w:tcW w:w="8080" w:type="dxa"/>
          </w:tcPr>
          <w:p w:rsidR="00335923" w:rsidRPr="00901F0D" w:rsidRDefault="00335923" w:rsidP="007D6D62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 xml:space="preserve">Гадолиний </w:t>
            </w:r>
          </w:p>
        </w:tc>
      </w:tr>
      <w:tr w:rsidR="00335923" w:rsidRPr="007D6D62" w:rsidTr="00901F0D">
        <w:tc>
          <w:tcPr>
            <w:tcW w:w="2127" w:type="dxa"/>
          </w:tcPr>
          <w:p w:rsidR="00335923" w:rsidRPr="007D6D62" w:rsidRDefault="00335923" w:rsidP="007D6D62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r w:rsidRPr="007D6D62">
              <w:rPr>
                <w:rFonts w:ascii="Verdana" w:hAnsi="Verdana" w:cs="Arial"/>
                <w:sz w:val="20"/>
                <w:szCs w:val="20"/>
                <w:lang w:val="en-GB" w:eastAsia="de-DE"/>
              </w:rPr>
              <w:t>GPPP</w:t>
            </w:r>
          </w:p>
        </w:tc>
        <w:tc>
          <w:tcPr>
            <w:tcW w:w="8080" w:type="dxa"/>
          </w:tcPr>
          <w:p w:rsidR="00335923" w:rsidRPr="00901F0D" w:rsidRDefault="00335923" w:rsidP="007D6D62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>Глобальный план по плательщикам и ценообразованию</w:t>
            </w:r>
          </w:p>
        </w:tc>
      </w:tr>
      <w:tr w:rsidR="00335923" w:rsidRPr="007D6D62" w:rsidTr="00901F0D">
        <w:tc>
          <w:tcPr>
            <w:tcW w:w="2127" w:type="dxa"/>
          </w:tcPr>
          <w:p w:rsidR="00335923" w:rsidRPr="007D6D62" w:rsidRDefault="00335923" w:rsidP="007D6D62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r w:rsidRPr="007D6D62">
              <w:rPr>
                <w:rFonts w:ascii="Verdana" w:hAnsi="Verdana" w:cs="Arial"/>
                <w:sz w:val="20"/>
                <w:szCs w:val="20"/>
                <w:lang w:val="en-GB" w:eastAsia="de-DE"/>
              </w:rPr>
              <w:t>HR</w:t>
            </w:r>
          </w:p>
        </w:tc>
        <w:tc>
          <w:tcPr>
            <w:tcW w:w="8080" w:type="dxa"/>
          </w:tcPr>
          <w:p w:rsidR="00335923" w:rsidRPr="00901F0D" w:rsidRDefault="00335923" w:rsidP="007D6D62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>Отношение рисков</w:t>
            </w:r>
          </w:p>
        </w:tc>
      </w:tr>
      <w:tr w:rsidR="00335923" w:rsidRPr="00901F0D" w:rsidTr="00901F0D">
        <w:tc>
          <w:tcPr>
            <w:tcW w:w="2127" w:type="dxa"/>
          </w:tcPr>
          <w:p w:rsidR="00335923" w:rsidRPr="007D6D62" w:rsidRDefault="00335923" w:rsidP="007D6D62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proofErr w:type="spellStart"/>
            <w:r w:rsidRPr="007D6D62">
              <w:rPr>
                <w:rFonts w:ascii="Verdana" w:hAnsi="Verdana" w:cs="Arial"/>
                <w:sz w:val="20"/>
                <w:szCs w:val="20"/>
                <w:lang w:val="en-GB" w:eastAsia="de-DE"/>
              </w:rPr>
              <w:t>HRQoL</w:t>
            </w:r>
            <w:proofErr w:type="spellEnd"/>
          </w:p>
        </w:tc>
        <w:tc>
          <w:tcPr>
            <w:tcW w:w="8080" w:type="dxa"/>
          </w:tcPr>
          <w:p w:rsidR="00335923" w:rsidRPr="00901F0D" w:rsidRDefault="00335923" w:rsidP="007D6D62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>Качество жизни, связанное со здоровьем</w:t>
            </w:r>
          </w:p>
        </w:tc>
      </w:tr>
      <w:tr w:rsidR="00335923" w:rsidRPr="007D6D62" w:rsidTr="00901F0D">
        <w:tc>
          <w:tcPr>
            <w:tcW w:w="2127" w:type="dxa"/>
          </w:tcPr>
          <w:p w:rsidR="00335923" w:rsidRPr="007D6D62" w:rsidRDefault="00335923" w:rsidP="007D6D62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r w:rsidRPr="007D6D62">
              <w:rPr>
                <w:rFonts w:ascii="Verdana" w:hAnsi="Verdana" w:cs="Arial"/>
                <w:sz w:val="20"/>
                <w:szCs w:val="20"/>
                <w:lang w:val="en-GB" w:eastAsia="de-DE"/>
              </w:rPr>
              <w:t>HTA</w:t>
            </w:r>
          </w:p>
        </w:tc>
        <w:tc>
          <w:tcPr>
            <w:tcW w:w="8080" w:type="dxa"/>
          </w:tcPr>
          <w:p w:rsidR="00335923" w:rsidRPr="00901F0D" w:rsidRDefault="00335923" w:rsidP="007D6D62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 xml:space="preserve">Оценка медицинских технологий </w:t>
            </w:r>
          </w:p>
        </w:tc>
      </w:tr>
      <w:tr w:rsidR="00335923" w:rsidRPr="007D6D62" w:rsidTr="00901F0D">
        <w:tc>
          <w:tcPr>
            <w:tcW w:w="2127" w:type="dxa"/>
          </w:tcPr>
          <w:p w:rsidR="00335923" w:rsidRPr="007D6D62" w:rsidRDefault="00335923" w:rsidP="007D6D62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r w:rsidRPr="007D6D62">
              <w:rPr>
                <w:rFonts w:ascii="Verdana" w:hAnsi="Verdana" w:cs="Arial"/>
                <w:sz w:val="20"/>
                <w:szCs w:val="20"/>
                <w:lang w:val="en-GB" w:eastAsia="de-DE"/>
              </w:rPr>
              <w:t>ICER</w:t>
            </w:r>
          </w:p>
        </w:tc>
        <w:tc>
          <w:tcPr>
            <w:tcW w:w="8080" w:type="dxa"/>
            <w:vAlign w:val="center"/>
          </w:tcPr>
          <w:p w:rsidR="00335923" w:rsidRPr="00901F0D" w:rsidRDefault="00335923" w:rsidP="007D6D62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>Величина дополнительных затрат</w:t>
            </w:r>
          </w:p>
        </w:tc>
      </w:tr>
      <w:tr w:rsidR="00335923" w:rsidRPr="00D40F8B" w:rsidTr="00E40B4A">
        <w:tc>
          <w:tcPr>
            <w:tcW w:w="2127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r w:rsidRPr="00E40B4A">
              <w:rPr>
                <w:rFonts w:ascii="Verdana" w:hAnsi="Verdana" w:cs="Arial"/>
                <w:sz w:val="20"/>
                <w:szCs w:val="20"/>
                <w:lang w:val="en-GB" w:eastAsia="de-DE"/>
              </w:rPr>
              <w:t>IDP</w:t>
            </w:r>
          </w:p>
        </w:tc>
        <w:tc>
          <w:tcPr>
            <w:tcW w:w="8080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  <w:vAlign w:val="center"/>
          </w:tcPr>
          <w:p w:rsidR="00335923" w:rsidRPr="00E40B4A" w:rsidRDefault="00335923" w:rsidP="00E40B4A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>Различие в ценообразовании на международном уровне</w:t>
            </w:r>
          </w:p>
        </w:tc>
      </w:tr>
      <w:tr w:rsidR="00335923" w:rsidRPr="001E6FA4" w:rsidTr="00E40B4A">
        <w:tc>
          <w:tcPr>
            <w:tcW w:w="2127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r w:rsidRPr="00E40B4A">
              <w:rPr>
                <w:rFonts w:ascii="Verdana" w:hAnsi="Verdana" w:cs="Arial"/>
                <w:sz w:val="20"/>
                <w:szCs w:val="20"/>
                <w:lang w:val="en-GB" w:eastAsia="de-DE"/>
              </w:rPr>
              <w:t>IRR</w:t>
            </w:r>
          </w:p>
        </w:tc>
        <w:tc>
          <w:tcPr>
            <w:tcW w:w="8080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  <w:vAlign w:val="center"/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eastAsia="de-DE"/>
              </w:rPr>
              <w:t>Инфузионные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eastAsia="de-DE"/>
              </w:rPr>
              <w:t xml:space="preserve"> реакции</w:t>
            </w:r>
          </w:p>
        </w:tc>
      </w:tr>
      <w:tr w:rsidR="00335923" w:rsidRPr="00E40B4A" w:rsidTr="00E40B4A">
        <w:tc>
          <w:tcPr>
            <w:tcW w:w="2127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r w:rsidRPr="00E40B4A">
              <w:rPr>
                <w:rFonts w:ascii="Verdana" w:hAnsi="Verdana" w:cs="Arial"/>
                <w:sz w:val="20"/>
                <w:szCs w:val="20"/>
                <w:lang w:val="en-GB" w:eastAsia="de-DE"/>
              </w:rPr>
              <w:t>ITC</w:t>
            </w:r>
          </w:p>
        </w:tc>
        <w:tc>
          <w:tcPr>
            <w:tcW w:w="8080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  <w:vAlign w:val="center"/>
          </w:tcPr>
          <w:p w:rsidR="00335923" w:rsidRPr="00E40B4A" w:rsidRDefault="00335923" w:rsidP="00E40B4A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>Непрямое сравнение препаратов</w:t>
            </w:r>
          </w:p>
        </w:tc>
      </w:tr>
      <w:tr w:rsidR="00335923" w:rsidRPr="001E6FA4" w:rsidTr="00E40B4A">
        <w:tc>
          <w:tcPr>
            <w:tcW w:w="2127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r w:rsidRPr="00E40B4A">
              <w:rPr>
                <w:rFonts w:ascii="Verdana" w:hAnsi="Verdana" w:cs="Arial"/>
                <w:sz w:val="20"/>
                <w:szCs w:val="20"/>
                <w:lang w:val="en-GB" w:eastAsia="de-DE"/>
              </w:rPr>
              <w:t>ITT</w:t>
            </w:r>
          </w:p>
        </w:tc>
        <w:tc>
          <w:tcPr>
            <w:tcW w:w="8080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  <w:vAlign w:val="center"/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b/>
                <w:sz w:val="20"/>
                <w:szCs w:val="20"/>
                <w:u w:val="single"/>
                <w:lang w:eastAsia="de-DE"/>
              </w:rPr>
            </w:pPr>
            <w:proofErr w:type="spellStart"/>
            <w:r w:rsidRPr="00E40B4A">
              <w:rPr>
                <w:rFonts w:ascii="Verdana" w:hAnsi="Verdana" w:cs="Arial"/>
                <w:b/>
                <w:sz w:val="20"/>
                <w:szCs w:val="20"/>
                <w:u w:val="single"/>
                <w:lang w:eastAsia="de-DE"/>
              </w:rPr>
              <w:t>Intent-to-treat</w:t>
            </w:r>
            <w:proofErr w:type="spellEnd"/>
          </w:p>
        </w:tc>
      </w:tr>
      <w:tr w:rsidR="00335923" w:rsidRPr="00E40B4A" w:rsidTr="00E40B4A">
        <w:tc>
          <w:tcPr>
            <w:tcW w:w="2127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r w:rsidRPr="00E40B4A">
              <w:rPr>
                <w:rFonts w:ascii="Verdana" w:hAnsi="Verdana" w:cs="Arial"/>
                <w:sz w:val="20"/>
                <w:szCs w:val="20"/>
                <w:lang w:val="en-GB" w:eastAsia="de-DE"/>
              </w:rPr>
              <w:t>JCV</w:t>
            </w:r>
          </w:p>
        </w:tc>
        <w:tc>
          <w:tcPr>
            <w:tcW w:w="8080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  <w:vAlign w:val="center"/>
          </w:tcPr>
          <w:p w:rsidR="00335923" w:rsidRPr="00E40B4A" w:rsidRDefault="00335923" w:rsidP="00E40B4A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 xml:space="preserve">Вирус Джона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eastAsia="de-DE"/>
              </w:rPr>
              <w:t>Каннингема</w:t>
            </w:r>
            <w:proofErr w:type="spellEnd"/>
          </w:p>
        </w:tc>
      </w:tr>
      <w:tr w:rsidR="00335923" w:rsidRPr="00E40B4A" w:rsidTr="00E40B4A">
        <w:tc>
          <w:tcPr>
            <w:tcW w:w="2127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r w:rsidRPr="00E40B4A">
              <w:rPr>
                <w:rFonts w:ascii="Verdana" w:hAnsi="Verdana" w:cs="Arial"/>
                <w:sz w:val="20"/>
                <w:szCs w:val="20"/>
                <w:lang w:val="en-GB" w:eastAsia="de-DE"/>
              </w:rPr>
              <w:t>MAIC</w:t>
            </w:r>
          </w:p>
        </w:tc>
        <w:tc>
          <w:tcPr>
            <w:tcW w:w="8080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  <w:vAlign w:val="center"/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eastAsia="de-DE"/>
              </w:rPr>
              <w:t>Скоррегированное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eastAsia="de-DE"/>
              </w:rPr>
              <w:t xml:space="preserve"> непрямое сравнение результатов лечения</w:t>
            </w:r>
          </w:p>
        </w:tc>
      </w:tr>
      <w:tr w:rsidR="00335923" w:rsidRPr="001E6FA4" w:rsidTr="00E40B4A">
        <w:tc>
          <w:tcPr>
            <w:tcW w:w="2127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r w:rsidRPr="00E40B4A">
              <w:rPr>
                <w:rFonts w:ascii="Verdana" w:hAnsi="Verdana" w:cs="Arial"/>
                <w:sz w:val="20"/>
                <w:szCs w:val="20"/>
                <w:lang w:val="en-GB" w:eastAsia="de-DE"/>
              </w:rPr>
              <w:t>NEDA</w:t>
            </w:r>
          </w:p>
        </w:tc>
        <w:tc>
          <w:tcPr>
            <w:tcW w:w="8080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  <w:vAlign w:val="center"/>
          </w:tcPr>
          <w:p w:rsidR="00335923" w:rsidRPr="00E40B4A" w:rsidRDefault="00335923" w:rsidP="00E40B4A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 xml:space="preserve">Отсутствие признаков активности болезни </w:t>
            </w:r>
          </w:p>
        </w:tc>
      </w:tr>
      <w:tr w:rsidR="00335923" w:rsidRPr="001E6FA4" w:rsidTr="00E40B4A">
        <w:tc>
          <w:tcPr>
            <w:tcW w:w="2127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r w:rsidRPr="00E40B4A">
              <w:rPr>
                <w:rFonts w:ascii="Verdana" w:hAnsi="Verdana" w:cs="Arial"/>
                <w:sz w:val="20"/>
                <w:szCs w:val="20"/>
                <w:lang w:val="en-GB" w:eastAsia="de-DE"/>
              </w:rPr>
              <w:t>NHS</w:t>
            </w:r>
          </w:p>
        </w:tc>
        <w:tc>
          <w:tcPr>
            <w:tcW w:w="8080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  <w:vAlign w:val="center"/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 xml:space="preserve">Национальная служба здравоохранения </w:t>
            </w:r>
          </w:p>
        </w:tc>
      </w:tr>
      <w:tr w:rsidR="00335923" w:rsidRPr="00E40B4A" w:rsidTr="00E40B4A">
        <w:tc>
          <w:tcPr>
            <w:tcW w:w="2127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r w:rsidRPr="00E40B4A">
              <w:rPr>
                <w:rFonts w:ascii="Verdana" w:hAnsi="Verdana" w:cs="Arial"/>
                <w:sz w:val="20"/>
                <w:szCs w:val="20"/>
                <w:lang w:val="en-GB" w:eastAsia="de-DE"/>
              </w:rPr>
              <w:t>NICE</w:t>
            </w:r>
          </w:p>
        </w:tc>
        <w:tc>
          <w:tcPr>
            <w:tcW w:w="8080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  <w:vAlign w:val="center"/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>Национальный институт здравоохранения и усовершенствования медицинской помощи Великобритании</w:t>
            </w:r>
          </w:p>
        </w:tc>
      </w:tr>
      <w:tr w:rsidR="00335923" w:rsidRPr="001E6FA4" w:rsidTr="00E40B4A">
        <w:tc>
          <w:tcPr>
            <w:tcW w:w="2127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r w:rsidRPr="00E40B4A">
              <w:rPr>
                <w:rFonts w:ascii="Verdana" w:hAnsi="Verdana" w:cs="Arial"/>
                <w:sz w:val="20"/>
                <w:szCs w:val="20"/>
                <w:lang w:val="en-GB" w:eastAsia="de-DE"/>
              </w:rPr>
              <w:t>NMA</w:t>
            </w:r>
          </w:p>
        </w:tc>
        <w:tc>
          <w:tcPr>
            <w:tcW w:w="8080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  <w:vAlign w:val="center"/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 xml:space="preserve">Сетевой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eastAsia="de-DE"/>
              </w:rPr>
              <w:t>метаанализ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eastAsia="de-DE"/>
              </w:rPr>
              <w:t xml:space="preserve"> </w:t>
            </w:r>
          </w:p>
        </w:tc>
      </w:tr>
      <w:tr w:rsidR="00335923" w:rsidRPr="001E6FA4" w:rsidTr="00E40B4A">
        <w:tc>
          <w:tcPr>
            <w:tcW w:w="2127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r w:rsidRPr="00E40B4A">
              <w:rPr>
                <w:rFonts w:ascii="Verdana" w:hAnsi="Verdana" w:cs="Arial"/>
                <w:sz w:val="20"/>
                <w:szCs w:val="20"/>
                <w:lang w:val="en-GB" w:eastAsia="de-DE"/>
              </w:rPr>
              <w:t>NNT</w:t>
            </w:r>
          </w:p>
        </w:tc>
        <w:tc>
          <w:tcPr>
            <w:tcW w:w="8080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  <w:vAlign w:val="center"/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 xml:space="preserve">Число пролеченных больных на одного излеченного </w:t>
            </w:r>
          </w:p>
        </w:tc>
      </w:tr>
      <w:tr w:rsidR="00335923" w:rsidRPr="001E6FA4" w:rsidTr="00E40B4A">
        <w:tc>
          <w:tcPr>
            <w:tcW w:w="2127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r w:rsidRPr="00E40B4A">
              <w:rPr>
                <w:rFonts w:ascii="Verdana" w:hAnsi="Verdana" w:cs="Arial"/>
                <w:sz w:val="20"/>
                <w:szCs w:val="20"/>
                <w:lang w:val="en-GB" w:eastAsia="de-DE"/>
              </w:rPr>
              <w:t>OLE</w:t>
            </w:r>
          </w:p>
        </w:tc>
        <w:tc>
          <w:tcPr>
            <w:tcW w:w="8080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  <w:vAlign w:val="center"/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>Открытые расширения</w:t>
            </w:r>
          </w:p>
        </w:tc>
      </w:tr>
      <w:tr w:rsidR="00335923" w:rsidRPr="00761F87" w:rsidTr="00E40B4A">
        <w:tc>
          <w:tcPr>
            <w:tcW w:w="2127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r w:rsidRPr="00E40B4A">
              <w:rPr>
                <w:rFonts w:ascii="Verdana" w:hAnsi="Verdana" w:cs="Arial"/>
                <w:sz w:val="20"/>
                <w:szCs w:val="20"/>
                <w:lang w:val="en-GB" w:eastAsia="de-DE"/>
              </w:rPr>
              <w:t>OR</w:t>
            </w:r>
          </w:p>
        </w:tc>
        <w:tc>
          <w:tcPr>
            <w:tcW w:w="8080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  <w:vAlign w:val="center"/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>Отношение шансов</w:t>
            </w:r>
          </w:p>
        </w:tc>
      </w:tr>
      <w:tr w:rsidR="00335923" w:rsidRPr="001E6FA4" w:rsidTr="00E40B4A">
        <w:tc>
          <w:tcPr>
            <w:tcW w:w="2127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r w:rsidRPr="00E40B4A">
              <w:rPr>
                <w:rFonts w:ascii="Verdana" w:hAnsi="Verdana" w:cs="Arial"/>
                <w:sz w:val="20"/>
                <w:szCs w:val="20"/>
                <w:lang w:val="en-GB" w:eastAsia="de-DE"/>
              </w:rPr>
              <w:t>P&amp;R</w:t>
            </w:r>
          </w:p>
        </w:tc>
        <w:tc>
          <w:tcPr>
            <w:tcW w:w="8080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  <w:vAlign w:val="center"/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 xml:space="preserve">Ценообразование и льготное обеспечение </w:t>
            </w:r>
          </w:p>
        </w:tc>
      </w:tr>
      <w:tr w:rsidR="00335923" w:rsidRPr="00E40B4A" w:rsidTr="00E40B4A">
        <w:tc>
          <w:tcPr>
            <w:tcW w:w="2127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r w:rsidRPr="00E40B4A">
              <w:rPr>
                <w:rFonts w:ascii="Verdana" w:hAnsi="Verdana" w:cs="Arial"/>
                <w:sz w:val="20"/>
                <w:szCs w:val="20"/>
                <w:lang w:val="en-GB" w:eastAsia="de-DE"/>
              </w:rPr>
              <w:t>PBAC</w:t>
            </w:r>
          </w:p>
        </w:tc>
        <w:tc>
          <w:tcPr>
            <w:tcW w:w="8080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  <w:vAlign w:val="center"/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>Консультативный комитет по лекарственному обеспечению</w:t>
            </w:r>
          </w:p>
        </w:tc>
      </w:tr>
      <w:tr w:rsidR="00335923" w:rsidRPr="001E6FA4" w:rsidTr="00E40B4A">
        <w:tc>
          <w:tcPr>
            <w:tcW w:w="2127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proofErr w:type="spellStart"/>
            <w:r w:rsidRPr="00E40B4A">
              <w:rPr>
                <w:rFonts w:ascii="Verdana" w:hAnsi="Verdana" w:cs="Arial"/>
                <w:sz w:val="20"/>
                <w:szCs w:val="20"/>
                <w:lang w:val="en-GB" w:eastAsia="de-DE"/>
              </w:rPr>
              <w:t>pGPP</w:t>
            </w:r>
            <w:proofErr w:type="spellEnd"/>
          </w:p>
        </w:tc>
        <w:tc>
          <w:tcPr>
            <w:tcW w:w="8080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  <w:vAlign w:val="center"/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>Предварительная глобальная политика ценообразования</w:t>
            </w:r>
          </w:p>
        </w:tc>
      </w:tr>
      <w:tr w:rsidR="00335923" w:rsidRPr="001E6FA4" w:rsidTr="00E40B4A">
        <w:tc>
          <w:tcPr>
            <w:tcW w:w="2127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proofErr w:type="spellStart"/>
            <w:r w:rsidRPr="00E40B4A">
              <w:rPr>
                <w:rFonts w:ascii="Verdana" w:hAnsi="Verdana" w:cs="Arial"/>
                <w:sz w:val="20"/>
                <w:szCs w:val="20"/>
                <w:lang w:val="en-GB" w:eastAsia="de-DE"/>
              </w:rPr>
              <w:t>pGVD</w:t>
            </w:r>
            <w:proofErr w:type="spellEnd"/>
          </w:p>
        </w:tc>
        <w:tc>
          <w:tcPr>
            <w:tcW w:w="8080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  <w:vAlign w:val="center"/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>Предварительное глобальное руководство по ценности</w:t>
            </w:r>
          </w:p>
        </w:tc>
      </w:tr>
      <w:tr w:rsidR="00335923" w:rsidRPr="00797FE3" w:rsidTr="00E40B4A">
        <w:tc>
          <w:tcPr>
            <w:tcW w:w="2127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r w:rsidRPr="00E40B4A">
              <w:rPr>
                <w:rFonts w:ascii="Verdana" w:hAnsi="Verdana" w:cs="Arial"/>
                <w:sz w:val="20"/>
                <w:szCs w:val="20"/>
                <w:lang w:val="en-GB" w:eastAsia="de-DE"/>
              </w:rPr>
              <w:t>PLT</w:t>
            </w:r>
          </w:p>
        </w:tc>
        <w:tc>
          <w:tcPr>
            <w:tcW w:w="8080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  <w:vAlign w:val="center"/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>Руководство фармацевтической компании</w:t>
            </w:r>
          </w:p>
        </w:tc>
      </w:tr>
      <w:tr w:rsidR="00335923" w:rsidRPr="001E6FA4" w:rsidTr="00E40B4A">
        <w:tc>
          <w:tcPr>
            <w:tcW w:w="2127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r w:rsidRPr="00E40B4A">
              <w:rPr>
                <w:rFonts w:ascii="Verdana" w:hAnsi="Verdana" w:cs="Arial"/>
                <w:sz w:val="20"/>
                <w:szCs w:val="20"/>
                <w:lang w:val="en-GB" w:eastAsia="de-DE"/>
              </w:rPr>
              <w:lastRenderedPageBreak/>
              <w:t>RR</w:t>
            </w:r>
          </w:p>
        </w:tc>
        <w:tc>
          <w:tcPr>
            <w:tcW w:w="8080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  <w:vAlign w:val="center"/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>Снижение риска</w:t>
            </w:r>
          </w:p>
        </w:tc>
      </w:tr>
      <w:tr w:rsidR="00335923" w:rsidRPr="001E6FA4" w:rsidTr="00E40B4A">
        <w:tc>
          <w:tcPr>
            <w:tcW w:w="2127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r w:rsidRPr="00E40B4A">
              <w:rPr>
                <w:rFonts w:ascii="Verdana" w:hAnsi="Verdana" w:cs="Arial"/>
                <w:sz w:val="20"/>
                <w:szCs w:val="20"/>
                <w:lang w:val="en-GB" w:eastAsia="de-DE"/>
              </w:rPr>
              <w:t>RWD</w:t>
            </w:r>
          </w:p>
        </w:tc>
        <w:tc>
          <w:tcPr>
            <w:tcW w:w="8080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  <w:vAlign w:val="center"/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>Данные реальной практики</w:t>
            </w:r>
          </w:p>
        </w:tc>
      </w:tr>
      <w:tr w:rsidR="00335923" w:rsidRPr="001E6FA4" w:rsidTr="00E40B4A">
        <w:tc>
          <w:tcPr>
            <w:tcW w:w="2127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r w:rsidRPr="00E40B4A">
              <w:rPr>
                <w:rFonts w:ascii="Verdana" w:hAnsi="Verdana" w:cs="Arial"/>
                <w:sz w:val="20"/>
                <w:szCs w:val="20"/>
                <w:lang w:val="en-GB" w:eastAsia="de-DE"/>
              </w:rPr>
              <w:t>SAD</w:t>
            </w:r>
          </w:p>
        </w:tc>
        <w:tc>
          <w:tcPr>
            <w:tcW w:w="8080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  <w:vAlign w:val="center"/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 xml:space="preserve">Устойчивое нарастание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eastAsia="de-DE"/>
              </w:rPr>
              <w:t>инвалидизации</w:t>
            </w:r>
            <w:proofErr w:type="spellEnd"/>
          </w:p>
        </w:tc>
      </w:tr>
      <w:tr w:rsidR="00335923" w:rsidRPr="001E6FA4" w:rsidTr="00E40B4A">
        <w:tc>
          <w:tcPr>
            <w:tcW w:w="2127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r w:rsidRPr="00E40B4A">
              <w:rPr>
                <w:rFonts w:ascii="Verdana" w:hAnsi="Verdana" w:cs="Arial"/>
                <w:sz w:val="20"/>
                <w:szCs w:val="20"/>
                <w:lang w:val="en-GB" w:eastAsia="de-DE"/>
              </w:rPr>
              <w:t>SC</w:t>
            </w:r>
          </w:p>
        </w:tc>
        <w:tc>
          <w:tcPr>
            <w:tcW w:w="8080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  <w:vAlign w:val="center"/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>Подраздел заявки</w:t>
            </w:r>
          </w:p>
        </w:tc>
      </w:tr>
      <w:tr w:rsidR="00335923" w:rsidRPr="001E6FA4" w:rsidTr="00E40B4A">
        <w:tc>
          <w:tcPr>
            <w:tcW w:w="2127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r w:rsidRPr="00E40B4A">
              <w:rPr>
                <w:rFonts w:ascii="Verdana" w:hAnsi="Verdana" w:cs="Arial"/>
                <w:sz w:val="20"/>
                <w:szCs w:val="20"/>
                <w:lang w:val="en-GB" w:eastAsia="de-DE"/>
              </w:rPr>
              <w:t>SLR</w:t>
            </w:r>
          </w:p>
        </w:tc>
        <w:tc>
          <w:tcPr>
            <w:tcW w:w="8080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  <w:vAlign w:val="center"/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>Системный обзор литературы</w:t>
            </w:r>
          </w:p>
        </w:tc>
      </w:tr>
      <w:tr w:rsidR="00335923" w:rsidRPr="00101552" w:rsidTr="00E40B4A">
        <w:tc>
          <w:tcPr>
            <w:tcW w:w="2127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r w:rsidRPr="00E40B4A">
              <w:rPr>
                <w:rFonts w:ascii="Verdana" w:hAnsi="Verdana" w:cs="Arial"/>
                <w:sz w:val="20"/>
                <w:szCs w:val="20"/>
                <w:lang w:val="en-GB" w:eastAsia="de-DE"/>
              </w:rPr>
              <w:t>SMC</w:t>
            </w:r>
          </w:p>
        </w:tc>
        <w:tc>
          <w:tcPr>
            <w:tcW w:w="8080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  <w:vAlign w:val="center"/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>Шотландский консорциум по лекарственным средствам</w:t>
            </w:r>
          </w:p>
        </w:tc>
      </w:tr>
      <w:tr w:rsidR="00335923" w:rsidRPr="001E6FA4" w:rsidTr="00E40B4A">
        <w:tc>
          <w:tcPr>
            <w:tcW w:w="2127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proofErr w:type="spellStart"/>
            <w:r w:rsidRPr="00E40B4A">
              <w:rPr>
                <w:rFonts w:ascii="Verdana" w:hAnsi="Verdana" w:cs="Arial"/>
                <w:sz w:val="20"/>
                <w:szCs w:val="20"/>
                <w:lang w:val="en-GB" w:eastAsia="de-DE"/>
              </w:rPr>
              <w:t>SmPC</w:t>
            </w:r>
            <w:proofErr w:type="spellEnd"/>
          </w:p>
        </w:tc>
        <w:tc>
          <w:tcPr>
            <w:tcW w:w="8080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  <w:vAlign w:val="center"/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>Краткая характеристика лекарственного средства</w:t>
            </w:r>
          </w:p>
        </w:tc>
      </w:tr>
      <w:tr w:rsidR="00335923" w:rsidRPr="001E6FA4" w:rsidTr="00E40B4A">
        <w:tc>
          <w:tcPr>
            <w:tcW w:w="2127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proofErr w:type="spellStart"/>
            <w:r w:rsidRPr="00E40B4A">
              <w:rPr>
                <w:rFonts w:ascii="Verdana" w:hAnsi="Verdana" w:cs="Arial"/>
                <w:sz w:val="20"/>
                <w:szCs w:val="20"/>
                <w:lang w:val="en-GB" w:eastAsia="de-DE"/>
              </w:rPr>
              <w:t>SoC</w:t>
            </w:r>
            <w:proofErr w:type="spellEnd"/>
          </w:p>
        </w:tc>
        <w:tc>
          <w:tcPr>
            <w:tcW w:w="8080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  <w:vAlign w:val="center"/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>Стандарт лечения</w:t>
            </w:r>
          </w:p>
        </w:tc>
      </w:tr>
      <w:tr w:rsidR="00335923" w:rsidRPr="001E6FA4" w:rsidTr="00E40B4A">
        <w:tc>
          <w:tcPr>
            <w:tcW w:w="2127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r w:rsidRPr="00E40B4A">
              <w:rPr>
                <w:rFonts w:ascii="Verdana" w:hAnsi="Verdana" w:cs="Arial"/>
                <w:sz w:val="20"/>
                <w:szCs w:val="20"/>
                <w:lang w:val="en-GB" w:eastAsia="de-DE"/>
              </w:rPr>
              <w:t>SWOT</w:t>
            </w:r>
          </w:p>
        </w:tc>
        <w:tc>
          <w:tcPr>
            <w:tcW w:w="8080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  <w:vAlign w:val="center"/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>Сильные стороны, слабые стороны, возможности угрозы</w:t>
            </w:r>
          </w:p>
        </w:tc>
      </w:tr>
      <w:tr w:rsidR="00335923" w:rsidRPr="001E6FA4" w:rsidTr="00E40B4A">
        <w:tc>
          <w:tcPr>
            <w:tcW w:w="2127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r w:rsidRPr="00E40B4A">
              <w:rPr>
                <w:rFonts w:ascii="Verdana" w:hAnsi="Verdana" w:cs="Arial"/>
                <w:sz w:val="20"/>
                <w:szCs w:val="20"/>
                <w:lang w:val="en-GB" w:eastAsia="de-DE"/>
              </w:rPr>
              <w:t>UK</w:t>
            </w:r>
          </w:p>
        </w:tc>
        <w:tc>
          <w:tcPr>
            <w:tcW w:w="8080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  <w:vAlign w:val="center"/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 xml:space="preserve">Великобритания </w:t>
            </w:r>
          </w:p>
        </w:tc>
      </w:tr>
      <w:tr w:rsidR="00335923" w:rsidRPr="001E6FA4" w:rsidTr="00E40B4A">
        <w:tc>
          <w:tcPr>
            <w:tcW w:w="2127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r w:rsidRPr="00E40B4A">
              <w:rPr>
                <w:rFonts w:ascii="Verdana" w:hAnsi="Verdana" w:cs="Arial"/>
                <w:sz w:val="20"/>
                <w:szCs w:val="20"/>
                <w:lang w:val="en-GB" w:eastAsia="de-DE"/>
              </w:rPr>
              <w:t>US(A)</w:t>
            </w:r>
          </w:p>
        </w:tc>
        <w:tc>
          <w:tcPr>
            <w:tcW w:w="8080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  <w:vAlign w:val="center"/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>Соединенные Штаты (Америки)</w:t>
            </w:r>
          </w:p>
        </w:tc>
      </w:tr>
      <w:tr w:rsidR="00335923" w:rsidRPr="001E6FA4" w:rsidTr="00E40B4A">
        <w:tc>
          <w:tcPr>
            <w:tcW w:w="2127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r w:rsidRPr="00E40B4A">
              <w:rPr>
                <w:rFonts w:ascii="Verdana" w:hAnsi="Verdana" w:cs="Arial"/>
                <w:sz w:val="20"/>
                <w:szCs w:val="20"/>
                <w:lang w:val="en-GB" w:eastAsia="de-DE"/>
              </w:rPr>
              <w:t>VC</w:t>
            </w:r>
          </w:p>
        </w:tc>
        <w:tc>
          <w:tcPr>
            <w:tcW w:w="8080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  <w:vAlign w:val="center"/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 xml:space="preserve">Заявленная ценность </w:t>
            </w:r>
          </w:p>
        </w:tc>
      </w:tr>
      <w:tr w:rsidR="00335923" w:rsidRPr="001E6FA4" w:rsidTr="00E40B4A">
        <w:tc>
          <w:tcPr>
            <w:tcW w:w="2127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r w:rsidRPr="00E40B4A">
              <w:rPr>
                <w:rFonts w:ascii="Verdana" w:hAnsi="Verdana" w:cs="Arial"/>
                <w:sz w:val="20"/>
                <w:szCs w:val="20"/>
                <w:lang w:val="en-GB" w:eastAsia="de-DE"/>
              </w:rPr>
              <w:t>VZV</w:t>
            </w:r>
          </w:p>
        </w:tc>
        <w:tc>
          <w:tcPr>
            <w:tcW w:w="8080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  <w:vAlign w:val="center"/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>Вирус ветряной оспы</w:t>
            </w:r>
          </w:p>
        </w:tc>
      </w:tr>
      <w:tr w:rsidR="00335923" w:rsidRPr="001E6FA4" w:rsidTr="00E40B4A">
        <w:tc>
          <w:tcPr>
            <w:tcW w:w="2127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r w:rsidRPr="00E40B4A">
              <w:rPr>
                <w:rFonts w:ascii="Verdana" w:hAnsi="Verdana" w:cs="Arial"/>
                <w:sz w:val="20"/>
                <w:szCs w:val="20"/>
                <w:lang w:val="en-GB" w:eastAsia="de-DE"/>
              </w:rPr>
              <w:t>WAC</w:t>
            </w:r>
          </w:p>
        </w:tc>
        <w:tc>
          <w:tcPr>
            <w:tcW w:w="8080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  <w:vAlign w:val="center"/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 xml:space="preserve">Оптовые расходы на приобретение </w:t>
            </w:r>
          </w:p>
        </w:tc>
      </w:tr>
      <w:tr w:rsidR="00335923" w:rsidRPr="001E6FA4" w:rsidTr="00E40B4A">
        <w:tc>
          <w:tcPr>
            <w:tcW w:w="2127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>в/в</w:t>
            </w:r>
          </w:p>
        </w:tc>
        <w:tc>
          <w:tcPr>
            <w:tcW w:w="8080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  <w:vAlign w:val="center"/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 xml:space="preserve">Внутривенно </w:t>
            </w:r>
          </w:p>
        </w:tc>
      </w:tr>
      <w:tr w:rsidR="00335923" w:rsidRPr="001E6FA4" w:rsidTr="00E40B4A">
        <w:tc>
          <w:tcPr>
            <w:tcW w:w="2127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</w:tcPr>
          <w:p w:rsidR="00335923" w:rsidRPr="00101552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>ВПРС</w:t>
            </w:r>
          </w:p>
        </w:tc>
        <w:tc>
          <w:tcPr>
            <w:tcW w:w="8080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  <w:vAlign w:val="center"/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>Вторично прогрессирующий рассеянный склероз</w:t>
            </w:r>
          </w:p>
        </w:tc>
      </w:tr>
      <w:tr w:rsidR="00335923" w:rsidRPr="007D6D62" w:rsidTr="00901F0D">
        <w:tc>
          <w:tcPr>
            <w:tcW w:w="2127" w:type="dxa"/>
          </w:tcPr>
          <w:p w:rsidR="00335923" w:rsidRPr="007D6D62" w:rsidRDefault="00335923" w:rsidP="007D6D62">
            <w:pPr>
              <w:spacing w:before="60" w:after="60" w:line="240" w:lineRule="auto"/>
              <w:rPr>
                <w:rFonts w:ascii="Verdana" w:eastAsia="MyriadPro-Regular" w:hAnsi="Verdana" w:cs="Arial"/>
                <w:color w:val="000000" w:themeColor="text1"/>
                <w:sz w:val="20"/>
                <w:szCs w:val="20"/>
              </w:rPr>
            </w:pPr>
            <w:r>
              <w:rPr>
                <w:rFonts w:ascii="Verdana" w:eastAsia="MyriadPro-Regular" w:hAnsi="Verdana" w:cs="Arial"/>
                <w:color w:val="000000" w:themeColor="text1"/>
                <w:sz w:val="20"/>
                <w:szCs w:val="20"/>
              </w:rPr>
              <w:t>ЕС</w:t>
            </w:r>
          </w:p>
        </w:tc>
        <w:tc>
          <w:tcPr>
            <w:tcW w:w="8080" w:type="dxa"/>
          </w:tcPr>
          <w:p w:rsidR="00335923" w:rsidRPr="00901F0D" w:rsidRDefault="00335923" w:rsidP="007D6D62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>Европейский Союз</w:t>
            </w:r>
          </w:p>
        </w:tc>
      </w:tr>
      <w:tr w:rsidR="00335923" w:rsidRPr="001E6FA4" w:rsidTr="00E40B4A">
        <w:tc>
          <w:tcPr>
            <w:tcW w:w="2127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val="en-GB"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>ИФН</w:t>
            </w:r>
            <w:r w:rsidRPr="00E40B4A">
              <w:rPr>
                <w:rFonts w:ascii="Verdana" w:hAnsi="Verdana" w:cs="Arial"/>
                <w:sz w:val="20"/>
                <w:szCs w:val="20"/>
                <w:lang w:val="en-GB" w:eastAsia="de-DE"/>
              </w:rPr>
              <w:t>β</w:t>
            </w:r>
          </w:p>
        </w:tc>
        <w:tc>
          <w:tcPr>
            <w:tcW w:w="8080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  <w:vAlign w:val="center"/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>Интерферон бета</w:t>
            </w:r>
          </w:p>
        </w:tc>
      </w:tr>
      <w:tr w:rsidR="00335923" w:rsidRPr="007D6D62" w:rsidTr="00901F0D">
        <w:tc>
          <w:tcPr>
            <w:tcW w:w="2127" w:type="dxa"/>
          </w:tcPr>
          <w:p w:rsidR="00335923" w:rsidRPr="007D6D62" w:rsidRDefault="00335923" w:rsidP="007D6D62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>КИС</w:t>
            </w:r>
          </w:p>
        </w:tc>
        <w:tc>
          <w:tcPr>
            <w:tcW w:w="8080" w:type="dxa"/>
          </w:tcPr>
          <w:p w:rsidR="00335923" w:rsidRPr="007D6D62" w:rsidRDefault="00335923" w:rsidP="007D6D62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>Клинический изолированный синдром</w:t>
            </w:r>
          </w:p>
        </w:tc>
      </w:tr>
      <w:tr w:rsidR="00335923" w:rsidRPr="001E6FA4" w:rsidTr="00E40B4A">
        <w:tc>
          <w:tcPr>
            <w:tcW w:w="2127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>МРТ</w:t>
            </w:r>
          </w:p>
        </w:tc>
        <w:tc>
          <w:tcPr>
            <w:tcW w:w="8080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  <w:vAlign w:val="center"/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>Магнитно резонансная томография</w:t>
            </w:r>
          </w:p>
        </w:tc>
      </w:tr>
      <w:tr w:rsidR="00335923" w:rsidRPr="007D6D62" w:rsidTr="00901F0D">
        <w:tc>
          <w:tcPr>
            <w:tcW w:w="2127" w:type="dxa"/>
          </w:tcPr>
          <w:p w:rsidR="00335923" w:rsidRPr="007D6D62" w:rsidRDefault="00335923" w:rsidP="007D6D62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>НЯ</w:t>
            </w:r>
          </w:p>
        </w:tc>
        <w:tc>
          <w:tcPr>
            <w:tcW w:w="8080" w:type="dxa"/>
          </w:tcPr>
          <w:p w:rsidR="00335923" w:rsidRPr="007D6D62" w:rsidRDefault="00335923" w:rsidP="007D6D62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>Нежелательные явления</w:t>
            </w:r>
          </w:p>
        </w:tc>
      </w:tr>
      <w:tr w:rsidR="00335923" w:rsidRPr="007D6D62" w:rsidTr="00901F0D">
        <w:tc>
          <w:tcPr>
            <w:tcW w:w="2127" w:type="dxa"/>
          </w:tcPr>
          <w:p w:rsidR="00335923" w:rsidRPr="007D6D62" w:rsidRDefault="00335923" w:rsidP="007D6D62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>ПИТЕРС</w:t>
            </w:r>
          </w:p>
        </w:tc>
        <w:tc>
          <w:tcPr>
            <w:tcW w:w="8080" w:type="dxa"/>
          </w:tcPr>
          <w:p w:rsidR="00335923" w:rsidRPr="007D6D62" w:rsidRDefault="00335923" w:rsidP="007D6D62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</w:rPr>
              <w:t>Препарат, изменяющий течение рассеянного склероза</w:t>
            </w:r>
          </w:p>
        </w:tc>
      </w:tr>
      <w:tr w:rsidR="00335923" w:rsidRPr="001E6FA4" w:rsidTr="00E40B4A">
        <w:tc>
          <w:tcPr>
            <w:tcW w:w="2127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</w:tcPr>
          <w:p w:rsidR="00335923" w:rsidRPr="00101552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>ПМЛ</w:t>
            </w:r>
          </w:p>
        </w:tc>
        <w:tc>
          <w:tcPr>
            <w:tcW w:w="8080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  <w:vAlign w:val="center"/>
          </w:tcPr>
          <w:p w:rsidR="00335923" w:rsidRPr="00E40B4A" w:rsidRDefault="00335923" w:rsidP="00101552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 xml:space="preserve">Прогрессирующая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eastAsia="de-DE"/>
              </w:rPr>
              <w:t>мультифокальная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eastAsia="de-DE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szCs w:val="20"/>
                <w:lang w:eastAsia="de-DE"/>
              </w:rPr>
              <w:t>лейкоэнцефалопатия</w:t>
            </w:r>
            <w:proofErr w:type="spellEnd"/>
          </w:p>
        </w:tc>
      </w:tr>
      <w:tr w:rsidR="00335923" w:rsidRPr="001E6FA4" w:rsidTr="00E40B4A">
        <w:tc>
          <w:tcPr>
            <w:tcW w:w="2127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</w:tcPr>
          <w:p w:rsidR="00335923" w:rsidRPr="00101552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 xml:space="preserve">ППРС </w:t>
            </w:r>
          </w:p>
        </w:tc>
        <w:tc>
          <w:tcPr>
            <w:tcW w:w="8080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  <w:vAlign w:val="center"/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>Первично прогрессирующий рассеянный склероз</w:t>
            </w:r>
          </w:p>
        </w:tc>
      </w:tr>
      <w:tr w:rsidR="00335923" w:rsidRPr="001E6FA4" w:rsidTr="00E40B4A">
        <w:tc>
          <w:tcPr>
            <w:tcW w:w="2127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</w:tcPr>
          <w:p w:rsidR="00335923" w:rsidRPr="00101552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>РКИ</w:t>
            </w:r>
          </w:p>
        </w:tc>
        <w:tc>
          <w:tcPr>
            <w:tcW w:w="8080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  <w:vAlign w:val="center"/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Verdana" w:hAnsi="Verdana" w:cs="Arial"/>
                <w:sz w:val="20"/>
                <w:szCs w:val="20"/>
                <w:lang w:eastAsia="de-DE"/>
              </w:rPr>
              <w:t>Рандомизированное</w:t>
            </w:r>
            <w:proofErr w:type="spellEnd"/>
            <w:r>
              <w:rPr>
                <w:rFonts w:ascii="Verdana" w:hAnsi="Verdana" w:cs="Arial"/>
                <w:sz w:val="20"/>
                <w:szCs w:val="20"/>
                <w:lang w:eastAsia="de-DE"/>
              </w:rPr>
              <w:t xml:space="preserve"> клиническое исследование </w:t>
            </w:r>
          </w:p>
        </w:tc>
      </w:tr>
      <w:tr w:rsidR="00335923" w:rsidRPr="001E6FA4" w:rsidTr="00E40B4A">
        <w:tc>
          <w:tcPr>
            <w:tcW w:w="2127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</w:tcPr>
          <w:p w:rsidR="00335923" w:rsidRPr="00101552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>РРС</w:t>
            </w:r>
          </w:p>
        </w:tc>
        <w:tc>
          <w:tcPr>
            <w:tcW w:w="8080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  <w:vAlign w:val="center"/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>Ремитирующий рассеянный склероз</w:t>
            </w:r>
          </w:p>
        </w:tc>
      </w:tr>
      <w:tr w:rsidR="00335923" w:rsidRPr="001E6FA4" w:rsidTr="00E40B4A">
        <w:tc>
          <w:tcPr>
            <w:tcW w:w="2127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>РС</w:t>
            </w:r>
          </w:p>
        </w:tc>
        <w:tc>
          <w:tcPr>
            <w:tcW w:w="8080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  <w:vAlign w:val="center"/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 xml:space="preserve">Рассеянный склероз </w:t>
            </w:r>
          </w:p>
        </w:tc>
      </w:tr>
      <w:tr w:rsidR="00335923" w:rsidRPr="001E6FA4" w:rsidTr="00E40B4A">
        <w:tc>
          <w:tcPr>
            <w:tcW w:w="2127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</w:tcPr>
          <w:p w:rsidR="00335923" w:rsidRPr="00101552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>СНЯ</w:t>
            </w:r>
          </w:p>
        </w:tc>
        <w:tc>
          <w:tcPr>
            <w:tcW w:w="8080" w:type="dxa"/>
            <w:tcBorders>
              <w:top w:val="single" w:sz="4" w:space="0" w:color="5F6EB3"/>
              <w:left w:val="single" w:sz="4" w:space="0" w:color="5F6EB3"/>
              <w:bottom w:val="single" w:sz="4" w:space="0" w:color="5F6EB3"/>
              <w:right w:val="single" w:sz="4" w:space="0" w:color="5F6EB3"/>
            </w:tcBorders>
            <w:vAlign w:val="center"/>
          </w:tcPr>
          <w:p w:rsidR="00335923" w:rsidRPr="00E40B4A" w:rsidRDefault="00335923" w:rsidP="004D0317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>Серьезные нежелательные явления</w:t>
            </w:r>
          </w:p>
        </w:tc>
      </w:tr>
      <w:tr w:rsidR="00335923" w:rsidRPr="007D6D62" w:rsidTr="00901F0D">
        <w:tc>
          <w:tcPr>
            <w:tcW w:w="2127" w:type="dxa"/>
          </w:tcPr>
          <w:p w:rsidR="00335923" w:rsidRPr="007D6D62" w:rsidRDefault="00335923" w:rsidP="007D6D62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>ЦНС</w:t>
            </w:r>
          </w:p>
        </w:tc>
        <w:tc>
          <w:tcPr>
            <w:tcW w:w="8080" w:type="dxa"/>
          </w:tcPr>
          <w:p w:rsidR="00335923" w:rsidRPr="007D6D62" w:rsidRDefault="00335923" w:rsidP="007D6D62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>Центральная нервная система</w:t>
            </w:r>
          </w:p>
        </w:tc>
      </w:tr>
      <w:tr w:rsidR="00335923" w:rsidRPr="007D6D62" w:rsidTr="00901F0D">
        <w:tc>
          <w:tcPr>
            <w:tcW w:w="2127" w:type="dxa"/>
          </w:tcPr>
          <w:p w:rsidR="00335923" w:rsidRPr="007D6D62" w:rsidRDefault="00335923" w:rsidP="007D6D62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  <w:lang w:eastAsia="de-DE"/>
              </w:rPr>
            </w:pPr>
            <w:r>
              <w:rPr>
                <w:rFonts w:ascii="Verdana" w:hAnsi="Verdana" w:cs="Arial"/>
                <w:sz w:val="20"/>
                <w:szCs w:val="20"/>
                <w:lang w:eastAsia="de-DE"/>
              </w:rPr>
              <w:t>ЭКГ</w:t>
            </w:r>
          </w:p>
        </w:tc>
        <w:tc>
          <w:tcPr>
            <w:tcW w:w="8080" w:type="dxa"/>
          </w:tcPr>
          <w:p w:rsidR="00335923" w:rsidRPr="007D6D62" w:rsidRDefault="00335923" w:rsidP="007D6D62">
            <w:pPr>
              <w:spacing w:before="60" w:after="60" w:line="240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Электрокардиограмма </w:t>
            </w:r>
          </w:p>
        </w:tc>
      </w:tr>
    </w:tbl>
    <w:p w:rsidR="007D6D62" w:rsidRDefault="007D6D62" w:rsidP="000E1CB0">
      <w:pPr>
        <w:spacing w:after="0"/>
        <w:ind w:firstLine="567"/>
        <w:jc w:val="both"/>
        <w:rPr>
          <w:rFonts w:ascii="Verdana" w:hAnsi="Verdana"/>
          <w:sz w:val="20"/>
          <w:szCs w:val="20"/>
        </w:rPr>
      </w:pPr>
    </w:p>
    <w:p w:rsidR="00335923" w:rsidRPr="00335923" w:rsidRDefault="00335923" w:rsidP="000E1CB0">
      <w:pPr>
        <w:spacing w:after="0"/>
        <w:ind w:firstLine="567"/>
        <w:jc w:val="both"/>
        <w:rPr>
          <w:rFonts w:ascii="Verdana" w:hAnsi="Verdana"/>
          <w:b/>
          <w:sz w:val="20"/>
          <w:szCs w:val="20"/>
        </w:rPr>
      </w:pPr>
      <w:r w:rsidRPr="00335923">
        <w:rPr>
          <w:rFonts w:ascii="Verdana" w:hAnsi="Verdana"/>
          <w:b/>
          <w:sz w:val="20"/>
          <w:szCs w:val="20"/>
        </w:rPr>
        <w:t>9. СПИСОК ЛИТЕРАТУРЫ</w:t>
      </w:r>
    </w:p>
    <w:sectPr w:rsidR="00335923" w:rsidRPr="00335923" w:rsidSect="00E860A3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C3462"/>
    <w:multiLevelType w:val="hybridMultilevel"/>
    <w:tmpl w:val="926837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88C0B1A"/>
    <w:multiLevelType w:val="hybridMultilevel"/>
    <w:tmpl w:val="44F8440E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CE8"/>
    <w:rsid w:val="00064A3C"/>
    <w:rsid w:val="000E1CB0"/>
    <w:rsid w:val="00101552"/>
    <w:rsid w:val="001E744A"/>
    <w:rsid w:val="002669D8"/>
    <w:rsid w:val="002712FB"/>
    <w:rsid w:val="002A2CE6"/>
    <w:rsid w:val="002D6ADD"/>
    <w:rsid w:val="00320A91"/>
    <w:rsid w:val="00335923"/>
    <w:rsid w:val="0034021B"/>
    <w:rsid w:val="00366C59"/>
    <w:rsid w:val="00392953"/>
    <w:rsid w:val="0048267D"/>
    <w:rsid w:val="00486502"/>
    <w:rsid w:val="00536891"/>
    <w:rsid w:val="00602307"/>
    <w:rsid w:val="006061E5"/>
    <w:rsid w:val="00672E0A"/>
    <w:rsid w:val="006A7730"/>
    <w:rsid w:val="006E0CE8"/>
    <w:rsid w:val="00724164"/>
    <w:rsid w:val="007566A9"/>
    <w:rsid w:val="00761C80"/>
    <w:rsid w:val="007D6D62"/>
    <w:rsid w:val="008B347B"/>
    <w:rsid w:val="00901F0D"/>
    <w:rsid w:val="009F4EC4"/>
    <w:rsid w:val="00A53830"/>
    <w:rsid w:val="00D90425"/>
    <w:rsid w:val="00DB29E6"/>
    <w:rsid w:val="00DC12DD"/>
    <w:rsid w:val="00DE7EFA"/>
    <w:rsid w:val="00E40B4A"/>
    <w:rsid w:val="00E860A3"/>
    <w:rsid w:val="00EB62B0"/>
    <w:rsid w:val="00EC7D8B"/>
    <w:rsid w:val="00F0478E"/>
    <w:rsid w:val="00F8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164"/>
    <w:pPr>
      <w:ind w:left="720"/>
      <w:contextualSpacing/>
    </w:pPr>
  </w:style>
  <w:style w:type="table" w:styleId="a4">
    <w:name w:val="Table Grid"/>
    <w:basedOn w:val="a1"/>
    <w:uiPriority w:val="59"/>
    <w:rsid w:val="00DC1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7</Pages>
  <Words>3232</Words>
  <Characters>18424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2016-08-16T21:26:00Z</dcterms:created>
  <dcterms:modified xsi:type="dcterms:W3CDTF">2016-08-17T16:12:00Z</dcterms:modified>
</cp:coreProperties>
</file>