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36" w:space="0" w:color="7F7F7F" w:themeColor="text1" w:themeTint="80"/>
          <w:left w:val="single" w:sz="36" w:space="0" w:color="7F7F7F" w:themeColor="text1" w:themeTint="80"/>
          <w:bottom w:val="single" w:sz="36" w:space="0" w:color="7F7F7F" w:themeColor="text1" w:themeTint="80"/>
          <w:right w:val="single" w:sz="36" w:space="0" w:color="7F7F7F" w:themeColor="text1" w:themeTint="80"/>
          <w:insideH w:val="single" w:sz="36" w:space="0" w:color="7F7F7F" w:themeColor="text1" w:themeTint="80"/>
          <w:insideV w:val="single" w:sz="3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63"/>
        <w:gridCol w:w="7976"/>
      </w:tblGrid>
      <w:tr w:rsidR="00094524" w:rsidRPr="00094524" w:rsidTr="00B2074C">
        <w:tc>
          <w:tcPr>
            <w:tcW w:w="7763" w:type="dxa"/>
          </w:tcPr>
          <w:p w:rsidR="001B0D1E" w:rsidRDefault="001B0D1E" w:rsidP="00B2074C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:rsidR="00B2074C" w:rsidRPr="007840D2" w:rsidRDefault="007840D2" w:rsidP="00B2074C">
            <w:pPr>
              <w:spacing w:line="276" w:lineRule="auto"/>
              <w:jc w:val="both"/>
              <w:rPr>
                <w:rFonts w:ascii="Arial" w:hAnsi="Arial" w:cs="Arial"/>
                <w:b/>
                <w:color w:val="0340C9"/>
                <w:sz w:val="28"/>
                <w:szCs w:val="28"/>
                <w:lang w:val="de-DE"/>
              </w:rPr>
            </w:pPr>
            <w:r w:rsidRPr="007840D2">
              <w:rPr>
                <w:rFonts w:ascii="Arial" w:hAnsi="Arial" w:cs="Arial"/>
                <w:b/>
                <w:sz w:val="28"/>
                <w:szCs w:val="28"/>
                <w:lang w:val="de-DE"/>
              </w:rPr>
              <w:t>Original</w:t>
            </w:r>
            <w:r w:rsidR="00B2074C" w:rsidRPr="007840D2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 (</w:t>
            </w:r>
            <w:r w:rsidR="00B2074C" w:rsidRPr="00B2074C">
              <w:rPr>
                <w:rFonts w:ascii="Arial" w:hAnsi="Arial" w:cs="Arial"/>
                <w:b/>
                <w:sz w:val="28"/>
                <w:szCs w:val="28"/>
              </w:rPr>
              <w:t>Оригинал</w:t>
            </w:r>
            <w:r w:rsidR="00B2074C" w:rsidRPr="007840D2">
              <w:rPr>
                <w:rFonts w:ascii="Arial" w:hAnsi="Arial" w:cs="Arial"/>
                <w:b/>
                <w:sz w:val="28"/>
                <w:szCs w:val="28"/>
                <w:lang w:val="de-DE"/>
              </w:rPr>
              <w:t>)</w:t>
            </w:r>
          </w:p>
          <w:p w:rsidR="00B2074C" w:rsidRPr="007840D2" w:rsidRDefault="00B2074C" w:rsidP="003C6785">
            <w:pPr>
              <w:spacing w:line="276" w:lineRule="auto"/>
              <w:ind w:right="176"/>
              <w:jc w:val="both"/>
              <w:rPr>
                <w:rFonts w:ascii="Arial" w:hAnsi="Arial" w:cs="Arial"/>
                <w:b/>
                <w:color w:val="0340C9"/>
                <w:sz w:val="24"/>
                <w:szCs w:val="24"/>
                <w:lang w:val="de-DE"/>
              </w:rPr>
            </w:pPr>
            <w:r w:rsidRPr="007840D2">
              <w:rPr>
                <w:rFonts w:ascii="Arial" w:hAnsi="Arial" w:cs="Arial"/>
                <w:b/>
                <w:color w:val="0340C9"/>
                <w:sz w:val="24"/>
                <w:szCs w:val="24"/>
                <w:lang w:val="de-DE"/>
              </w:rPr>
              <w:t xml:space="preserve">     </w:t>
            </w:r>
          </w:p>
          <w:p w:rsidR="00637E06" w:rsidRPr="00ED0613" w:rsidRDefault="009322DE" w:rsidP="00637E06">
            <w:pPr>
              <w:ind w:right="176"/>
              <w:jc w:val="both"/>
              <w:rPr>
                <w:rFonts w:ascii="Arial" w:hAnsi="Arial" w:cs="Arial"/>
                <w:b/>
                <w:color w:val="0340C9"/>
                <w:lang w:val="de-DE"/>
              </w:rPr>
            </w:pPr>
            <w:r w:rsidRPr="00ED0613">
              <w:rPr>
                <w:rFonts w:ascii="Arial" w:hAnsi="Arial" w:cs="Arial"/>
                <w:b/>
                <w:color w:val="0340C9"/>
                <w:lang w:val="de-DE"/>
              </w:rPr>
              <w:t xml:space="preserve">1. </w:t>
            </w:r>
            <w:r w:rsidR="00637E06" w:rsidRPr="00ED0613">
              <w:rPr>
                <w:rFonts w:ascii="Arial" w:hAnsi="Arial" w:cs="Arial"/>
                <w:b/>
                <w:color w:val="0340C9"/>
                <w:lang w:val="de-DE"/>
              </w:rPr>
              <w:t>Technische Beschreibung</w:t>
            </w:r>
          </w:p>
          <w:p w:rsidR="00637E06" w:rsidRPr="00ED0613" w:rsidRDefault="00637E06" w:rsidP="00637E06">
            <w:pPr>
              <w:ind w:right="176"/>
              <w:jc w:val="both"/>
              <w:rPr>
                <w:rFonts w:ascii="Arial" w:hAnsi="Arial" w:cs="Arial"/>
                <w:lang w:val="de-DE"/>
              </w:rPr>
            </w:pPr>
            <w:r w:rsidRPr="00ED0613">
              <w:rPr>
                <w:rFonts w:ascii="Arial" w:hAnsi="Arial" w:cs="Arial"/>
                <w:lang w:val="de-DE"/>
              </w:rPr>
              <w:t>Die Schnittstellenbox wurde konzipiert für die ESS-WIG-Schweißstromquellen.</w:t>
            </w:r>
          </w:p>
          <w:p w:rsidR="009322DE" w:rsidRPr="00ED0613" w:rsidRDefault="00637E06" w:rsidP="00637E06">
            <w:pPr>
              <w:ind w:right="176"/>
              <w:jc w:val="both"/>
              <w:rPr>
                <w:rFonts w:ascii="Arial" w:hAnsi="Arial" w:cs="Arial"/>
                <w:caps/>
                <w:lang w:val="de-DE"/>
              </w:rPr>
            </w:pPr>
            <w:r w:rsidRPr="00ED0613">
              <w:rPr>
                <w:rFonts w:ascii="Arial" w:hAnsi="Arial" w:cs="Arial"/>
                <w:lang w:val="de-DE"/>
              </w:rPr>
              <w:t>Über den 4 poligen Kabelstecker X30 (Versorgung mit Netzspannung) bzw.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>dem 17 poligen Kabelstecker X1 wird die Schnittstellenbox SB mit der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>Schweißstromquelle verbunden. Die Steckverbinder X2 und X4 stellen die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>elektrischen Signale für die Kabelverbindungen zur Robotersteuerung zur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>Verfügung.</w:t>
            </w:r>
          </w:p>
          <w:p w:rsidR="00EA08BC" w:rsidRPr="00ED0613" w:rsidRDefault="00EA08BC" w:rsidP="009322DE">
            <w:pPr>
              <w:ind w:right="-82"/>
              <w:jc w:val="center"/>
              <w:rPr>
                <w:rFonts w:ascii="Verdana" w:hAnsi="Verdana" w:cs="Arial"/>
                <w:lang w:val="de-DE"/>
              </w:rPr>
            </w:pPr>
          </w:p>
          <w:p w:rsidR="00ED0613" w:rsidRDefault="009322DE" w:rsidP="00ED0613">
            <w:pPr>
              <w:ind w:right="176"/>
              <w:jc w:val="both"/>
              <w:rPr>
                <w:rFonts w:ascii="Arial" w:hAnsi="Arial" w:cs="Arial"/>
                <w:b/>
                <w:color w:val="0340C9"/>
              </w:rPr>
            </w:pPr>
            <w:r w:rsidRPr="00ED0613">
              <w:rPr>
                <w:rFonts w:ascii="Arial" w:hAnsi="Arial" w:cs="Arial"/>
                <w:b/>
                <w:color w:val="0340C9"/>
                <w:lang w:val="de-DE"/>
              </w:rPr>
              <w:t xml:space="preserve">2. </w:t>
            </w:r>
            <w:r w:rsidR="00ED0613" w:rsidRPr="00ED0613">
              <w:rPr>
                <w:rFonts w:ascii="Arial" w:hAnsi="Arial" w:cs="Arial"/>
                <w:b/>
                <w:color w:val="0340C9"/>
                <w:lang w:val="de-DE"/>
              </w:rPr>
              <w:t>Inbetriebnahme</w:t>
            </w: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b/>
                <w:color w:val="0340C9"/>
              </w:rPr>
            </w:pP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ED0613">
              <w:rPr>
                <w:rFonts w:ascii="Arial" w:hAnsi="Arial" w:cs="Arial"/>
                <w:b/>
              </w:rPr>
              <w:t>2</w:t>
            </w:r>
            <w:r w:rsidRPr="00ED0613">
              <w:rPr>
                <w:rFonts w:ascii="Arial" w:hAnsi="Arial" w:cs="Arial"/>
                <w:b/>
                <w:lang w:val="de-DE"/>
              </w:rPr>
              <w:t>.1 Aufstellung</w:t>
            </w: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lang w:val="de-DE"/>
              </w:rPr>
            </w:pPr>
            <w:r w:rsidRPr="00ED0613">
              <w:rPr>
                <w:rFonts w:ascii="Arial" w:hAnsi="Arial" w:cs="Arial"/>
                <w:lang w:val="de-DE"/>
              </w:rPr>
              <w:t xml:space="preserve">Der Aufstellungsort ist so zu wählen, </w:t>
            </w:r>
            <w:proofErr w:type="spellStart"/>
            <w:r w:rsidRPr="00ED0613">
              <w:rPr>
                <w:rFonts w:ascii="Arial" w:hAnsi="Arial" w:cs="Arial"/>
                <w:lang w:val="de-DE"/>
              </w:rPr>
              <w:t>daß</w:t>
            </w:r>
            <w:proofErr w:type="spellEnd"/>
            <w:r w:rsidRPr="00ED0613">
              <w:rPr>
                <w:rFonts w:ascii="Arial" w:hAnsi="Arial" w:cs="Arial"/>
                <w:lang w:val="de-DE"/>
              </w:rPr>
              <w:t xml:space="preserve"> die Schnittstellenbox keiner</w:t>
            </w:r>
          </w:p>
          <w:p w:rsid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  <w:proofErr w:type="gramStart"/>
            <w:r w:rsidRPr="00ED0613">
              <w:rPr>
                <w:rFonts w:ascii="Arial" w:hAnsi="Arial" w:cs="Arial"/>
                <w:lang w:val="de-DE"/>
              </w:rPr>
              <w:t>aggressiven</w:t>
            </w:r>
            <w:proofErr w:type="gramEnd"/>
            <w:r w:rsidRPr="00ED0613">
              <w:rPr>
                <w:rFonts w:ascii="Arial" w:hAnsi="Arial" w:cs="Arial"/>
                <w:lang w:val="de-DE"/>
              </w:rPr>
              <w:t xml:space="preserve"> Umgebung ausgesetzt ist. Die Umgebungstemperatur darf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>maximal 40° C betragen.</w:t>
            </w: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ED0613">
              <w:rPr>
                <w:rFonts w:ascii="Arial" w:hAnsi="Arial" w:cs="Arial"/>
                <w:b/>
                <w:lang w:val="de-DE"/>
              </w:rPr>
              <w:t>2</w:t>
            </w:r>
            <w:r w:rsidRPr="00ED0613">
              <w:rPr>
                <w:rFonts w:ascii="Arial" w:hAnsi="Arial" w:cs="Arial"/>
                <w:b/>
                <w:lang w:val="de-DE"/>
              </w:rPr>
              <w:t xml:space="preserve">.2 Elektrischer </w:t>
            </w:r>
            <w:proofErr w:type="spellStart"/>
            <w:r w:rsidRPr="00ED0613">
              <w:rPr>
                <w:rFonts w:ascii="Arial" w:hAnsi="Arial" w:cs="Arial"/>
                <w:b/>
                <w:lang w:val="de-DE"/>
              </w:rPr>
              <w:t>Anschluß</w:t>
            </w:r>
            <w:proofErr w:type="spellEnd"/>
            <w:r w:rsidRPr="00ED0613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lang w:val="de-DE"/>
              </w:rPr>
            </w:pPr>
            <w:r w:rsidRPr="00ED0613">
              <w:rPr>
                <w:rFonts w:ascii="Arial" w:hAnsi="Arial" w:cs="Arial"/>
                <w:lang w:val="de-DE"/>
              </w:rPr>
              <w:t>Die Schnittstellenbox ist für die auf dem Leistungsschild angegebene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 xml:space="preserve">Netzspannung ausgelegt. Das </w:t>
            </w:r>
            <w:proofErr w:type="spellStart"/>
            <w:r w:rsidRPr="00ED0613">
              <w:rPr>
                <w:rFonts w:ascii="Arial" w:hAnsi="Arial" w:cs="Arial"/>
                <w:lang w:val="de-DE"/>
              </w:rPr>
              <w:t>Anschlußkabel</w:t>
            </w:r>
            <w:proofErr w:type="spellEnd"/>
            <w:r w:rsidRPr="00ED0613">
              <w:rPr>
                <w:rFonts w:ascii="Arial" w:hAnsi="Arial" w:cs="Arial"/>
                <w:lang w:val="de-DE"/>
              </w:rPr>
              <w:t xml:space="preserve"> (Spannungsversorgung von der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>Schweißstromquelle) ist bereits montiert. Die Höhe der Absicherung ist aus den</w:t>
            </w:r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r w:rsidRPr="00ED0613">
              <w:rPr>
                <w:rFonts w:ascii="Arial" w:hAnsi="Arial" w:cs="Arial"/>
                <w:lang w:val="de-DE"/>
              </w:rPr>
              <w:t xml:space="preserve">Technischen Daten zu entnehmen. Der </w:t>
            </w:r>
            <w:proofErr w:type="spellStart"/>
            <w:r w:rsidRPr="00ED0613">
              <w:rPr>
                <w:rFonts w:ascii="Arial" w:hAnsi="Arial" w:cs="Arial"/>
                <w:lang w:val="de-DE"/>
              </w:rPr>
              <w:t>Anschluß</w:t>
            </w:r>
            <w:proofErr w:type="spellEnd"/>
            <w:r w:rsidRPr="00ED061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D0613">
              <w:rPr>
                <w:rFonts w:ascii="Arial" w:hAnsi="Arial" w:cs="Arial"/>
                <w:lang w:val="de-DE"/>
              </w:rPr>
              <w:t>muß</w:t>
            </w:r>
            <w:proofErr w:type="spellEnd"/>
            <w:r w:rsidRPr="00ED0613">
              <w:rPr>
                <w:rFonts w:ascii="Arial" w:hAnsi="Arial" w:cs="Arial"/>
                <w:lang w:val="de-DE"/>
              </w:rPr>
              <w:t xml:space="preserve"> durch eine</w:t>
            </w:r>
          </w:p>
          <w:p w:rsidR="00094524" w:rsidRPr="00ED0613" w:rsidRDefault="00ED0613" w:rsidP="00ED0613">
            <w:pPr>
              <w:spacing w:line="276" w:lineRule="auto"/>
              <w:ind w:right="176"/>
              <w:jc w:val="both"/>
              <w:rPr>
                <w:rFonts w:ascii="Arial" w:hAnsi="Arial" w:cs="Arial"/>
              </w:rPr>
            </w:pPr>
            <w:r w:rsidRPr="00ED0613">
              <w:rPr>
                <w:rFonts w:ascii="Arial" w:hAnsi="Arial" w:cs="Arial"/>
                <w:lang w:val="de-DE"/>
              </w:rPr>
              <w:t>„Elektrofachkraft“ vorgenommen werden.</w:t>
            </w:r>
          </w:p>
          <w:p w:rsidR="00CD4DBD" w:rsidRPr="00CD4DBD" w:rsidRDefault="00CD4DBD" w:rsidP="00EA08BC">
            <w:pPr>
              <w:ind w:right="176"/>
              <w:jc w:val="both"/>
              <w:rPr>
                <w:rFonts w:ascii="Arial" w:hAnsi="Arial" w:cs="Arial"/>
              </w:rPr>
            </w:pPr>
          </w:p>
        </w:tc>
        <w:tc>
          <w:tcPr>
            <w:tcW w:w="7976" w:type="dxa"/>
          </w:tcPr>
          <w:p w:rsidR="001B0D1E" w:rsidRPr="00CD4DBD" w:rsidRDefault="001B0D1E" w:rsidP="00094524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2074C" w:rsidRPr="00670732" w:rsidRDefault="001B0D1E" w:rsidP="00094524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4DBD">
              <w:rPr>
                <w:rFonts w:ascii="Arial" w:hAnsi="Arial" w:cs="Arial"/>
                <w:b/>
                <w:sz w:val="28"/>
                <w:szCs w:val="28"/>
              </w:rPr>
              <w:t>Ü</w:t>
            </w:r>
            <w:proofErr w:type="spellStart"/>
            <w:r w:rsidR="007840D2" w:rsidRPr="00670732">
              <w:rPr>
                <w:rFonts w:ascii="Arial" w:hAnsi="Arial" w:cs="Arial"/>
                <w:b/>
                <w:sz w:val="28"/>
                <w:szCs w:val="28"/>
                <w:lang w:val="de-DE"/>
              </w:rPr>
              <w:t>bersetzung</w:t>
            </w:r>
            <w:proofErr w:type="spellEnd"/>
            <w:r w:rsidR="00B2074C" w:rsidRPr="00670732">
              <w:rPr>
                <w:rFonts w:ascii="Arial" w:hAnsi="Arial" w:cs="Arial"/>
                <w:b/>
                <w:sz w:val="28"/>
                <w:szCs w:val="28"/>
              </w:rPr>
              <w:t xml:space="preserve"> (Перевод)</w:t>
            </w:r>
          </w:p>
          <w:p w:rsidR="00B2074C" w:rsidRPr="00670732" w:rsidRDefault="00B2074C" w:rsidP="00094524">
            <w:pPr>
              <w:spacing w:line="276" w:lineRule="auto"/>
              <w:jc w:val="both"/>
              <w:rPr>
                <w:rFonts w:ascii="Arial" w:hAnsi="Arial" w:cs="Arial"/>
                <w:b/>
                <w:color w:val="0340C9"/>
                <w:sz w:val="24"/>
                <w:szCs w:val="24"/>
              </w:rPr>
            </w:pPr>
          </w:p>
          <w:p w:rsidR="00637E06" w:rsidRPr="00ED0613" w:rsidRDefault="009322DE" w:rsidP="00637E06">
            <w:pPr>
              <w:ind w:right="176"/>
              <w:jc w:val="both"/>
              <w:rPr>
                <w:rFonts w:ascii="Arial" w:hAnsi="Arial" w:cs="Arial"/>
                <w:b/>
                <w:color w:val="0340C9"/>
              </w:rPr>
            </w:pPr>
            <w:r w:rsidRPr="00670732">
              <w:rPr>
                <w:rFonts w:ascii="Arial" w:hAnsi="Arial" w:cs="Arial"/>
                <w:b/>
                <w:color w:val="0340C9"/>
                <w:sz w:val="24"/>
                <w:szCs w:val="24"/>
              </w:rPr>
              <w:t>1</w:t>
            </w:r>
            <w:r w:rsidRPr="00ED0613">
              <w:rPr>
                <w:rFonts w:ascii="Arial" w:hAnsi="Arial" w:cs="Arial"/>
                <w:b/>
                <w:color w:val="0340C9"/>
              </w:rPr>
              <w:t xml:space="preserve">. </w:t>
            </w:r>
            <w:r w:rsidR="00637E06" w:rsidRPr="00ED0613">
              <w:rPr>
                <w:rFonts w:ascii="Arial" w:hAnsi="Arial" w:cs="Arial"/>
                <w:b/>
                <w:color w:val="0340C9"/>
              </w:rPr>
              <w:t>Техническое описание</w:t>
            </w:r>
          </w:p>
          <w:p w:rsidR="00637E06" w:rsidRPr="00ED0613" w:rsidRDefault="00637E06" w:rsidP="00637E06">
            <w:pPr>
              <w:ind w:right="176"/>
              <w:jc w:val="both"/>
              <w:rPr>
                <w:rFonts w:ascii="Arial" w:hAnsi="Arial" w:cs="Arial"/>
              </w:rPr>
            </w:pPr>
            <w:r w:rsidRPr="00ED0613">
              <w:rPr>
                <w:rFonts w:ascii="Arial" w:hAnsi="Arial" w:cs="Arial"/>
              </w:rPr>
              <w:t xml:space="preserve">Блок управления был разработан специально для сварочного источника питания для WIG-сварки (дуговой сварки неплавящимся электродом в среде инертного газа). </w:t>
            </w:r>
          </w:p>
          <w:p w:rsidR="007840D2" w:rsidRPr="00ED0613" w:rsidRDefault="00637E06" w:rsidP="00637E06">
            <w:pPr>
              <w:ind w:right="176"/>
              <w:jc w:val="both"/>
              <w:rPr>
                <w:rFonts w:ascii="Arial" w:hAnsi="Arial" w:cs="Arial"/>
              </w:rPr>
            </w:pPr>
            <w:r w:rsidRPr="00ED0613">
              <w:rPr>
                <w:rFonts w:ascii="Arial" w:hAnsi="Arial" w:cs="Arial"/>
              </w:rPr>
              <w:t>Блок  управления SB соединяется со сварочным источником питания через 4-х контактный штекерный разъём X30 (от сети напряжения) или через 17-контактный штекерный разъем X1. Разъемы X2 и X4 служат для передачи электрического сигнала контроллеру робота.</w:t>
            </w:r>
          </w:p>
          <w:p w:rsidR="00637E06" w:rsidRPr="00ED0613" w:rsidRDefault="00637E06" w:rsidP="00637E06">
            <w:pPr>
              <w:ind w:right="176"/>
              <w:jc w:val="both"/>
              <w:rPr>
                <w:rFonts w:ascii="Arial" w:hAnsi="Arial" w:cs="Arial"/>
              </w:rPr>
            </w:pPr>
          </w:p>
          <w:p w:rsidR="00ED0613" w:rsidRPr="00ED0613" w:rsidRDefault="009322DE" w:rsidP="00ED0613">
            <w:pPr>
              <w:ind w:right="176"/>
              <w:jc w:val="both"/>
              <w:rPr>
                <w:rFonts w:ascii="Arial" w:hAnsi="Arial" w:cs="Arial"/>
                <w:b/>
                <w:color w:val="0340C9"/>
              </w:rPr>
            </w:pPr>
            <w:r w:rsidRPr="00ED0613">
              <w:rPr>
                <w:rFonts w:ascii="Arial" w:hAnsi="Arial" w:cs="Arial"/>
                <w:b/>
                <w:color w:val="0340C9"/>
              </w:rPr>
              <w:t>2.</w:t>
            </w:r>
            <w:r w:rsidRPr="00670732">
              <w:rPr>
                <w:rFonts w:ascii="Arial" w:hAnsi="Arial" w:cs="Arial"/>
                <w:b/>
                <w:color w:val="0340C9"/>
                <w:sz w:val="24"/>
                <w:szCs w:val="24"/>
              </w:rPr>
              <w:t xml:space="preserve"> </w:t>
            </w:r>
            <w:r w:rsidR="00ED0613" w:rsidRPr="00ED0613">
              <w:rPr>
                <w:rFonts w:ascii="Arial" w:hAnsi="Arial" w:cs="Arial"/>
                <w:b/>
                <w:color w:val="0340C9"/>
              </w:rPr>
              <w:t>Ввод в эксплуатацию</w:t>
            </w: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b/>
                <w:color w:val="0340C9"/>
              </w:rPr>
            </w:pP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ED0613">
              <w:rPr>
                <w:rFonts w:ascii="Arial" w:hAnsi="Arial" w:cs="Arial"/>
                <w:b/>
              </w:rPr>
              <w:t xml:space="preserve">2.1 </w:t>
            </w:r>
            <w:r w:rsidRPr="00ED0613">
              <w:rPr>
                <w:rFonts w:ascii="Arial" w:hAnsi="Arial" w:cs="Arial"/>
                <w:b/>
              </w:rPr>
              <w:t>Установка</w:t>
            </w: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</w:p>
          <w:p w:rsid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  <w:r w:rsidRPr="00ED0613">
              <w:rPr>
                <w:rFonts w:ascii="Arial" w:hAnsi="Arial" w:cs="Arial"/>
              </w:rPr>
              <w:t>Место установки необходимо выбирать так, чтобы блок управления не подвергался воздействию агрессивных сред. Температура окружающей среды допускается макс. 40° C.</w:t>
            </w: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ED0613">
              <w:rPr>
                <w:rFonts w:ascii="Arial" w:hAnsi="Arial" w:cs="Arial"/>
                <w:b/>
              </w:rPr>
              <w:t xml:space="preserve">2.2 </w:t>
            </w:r>
            <w:r w:rsidRPr="00ED0613">
              <w:rPr>
                <w:rFonts w:ascii="Arial" w:hAnsi="Arial" w:cs="Arial"/>
                <w:b/>
              </w:rPr>
              <w:t>Электрическое подключение</w:t>
            </w:r>
            <w:r w:rsidR="002F4603">
              <w:rPr>
                <w:rFonts w:ascii="Arial" w:hAnsi="Arial" w:cs="Arial"/>
                <w:b/>
              </w:rPr>
              <w:t xml:space="preserve"> </w:t>
            </w:r>
          </w:p>
          <w:p w:rsidR="00ED0613" w:rsidRPr="00ED0613" w:rsidRDefault="00ED0613" w:rsidP="00ED0613">
            <w:pPr>
              <w:ind w:right="176"/>
              <w:jc w:val="both"/>
              <w:rPr>
                <w:rFonts w:ascii="Arial" w:hAnsi="Arial" w:cs="Arial"/>
              </w:rPr>
            </w:pPr>
          </w:p>
          <w:p w:rsidR="009322DE" w:rsidRPr="00094524" w:rsidRDefault="00ED0613" w:rsidP="00C728A3">
            <w:pPr>
              <w:ind w:right="176"/>
              <w:jc w:val="both"/>
              <w:rPr>
                <w:rFonts w:ascii="Arial" w:hAnsi="Arial" w:cs="Arial"/>
              </w:rPr>
            </w:pPr>
            <w:r w:rsidRPr="00ED0613">
              <w:rPr>
                <w:rFonts w:ascii="Arial" w:hAnsi="Arial" w:cs="Arial"/>
              </w:rPr>
              <w:t xml:space="preserve">Блок управления предназначен для </w:t>
            </w:r>
            <w:r w:rsidR="00392E55">
              <w:rPr>
                <w:rFonts w:ascii="Arial" w:hAnsi="Arial" w:cs="Arial"/>
              </w:rPr>
              <w:t xml:space="preserve">использования </w:t>
            </w:r>
            <w:r w:rsidR="002F4603" w:rsidRPr="002F4603">
              <w:rPr>
                <w:rFonts w:ascii="Arial" w:hAnsi="Arial" w:cs="Arial"/>
              </w:rPr>
              <w:t xml:space="preserve">только </w:t>
            </w:r>
            <w:r w:rsidR="00392E55">
              <w:rPr>
                <w:rFonts w:ascii="Arial" w:hAnsi="Arial" w:cs="Arial"/>
              </w:rPr>
              <w:t xml:space="preserve">при </w:t>
            </w:r>
            <w:r w:rsidRPr="00ED0613">
              <w:rPr>
                <w:rFonts w:ascii="Arial" w:hAnsi="Arial" w:cs="Arial"/>
              </w:rPr>
              <w:t>напряжени</w:t>
            </w:r>
            <w:r w:rsidR="00392E55">
              <w:rPr>
                <w:rFonts w:ascii="Arial" w:hAnsi="Arial" w:cs="Arial"/>
              </w:rPr>
              <w:t>и</w:t>
            </w:r>
            <w:r w:rsidRPr="00ED0613">
              <w:rPr>
                <w:rFonts w:ascii="Arial" w:hAnsi="Arial" w:cs="Arial"/>
              </w:rPr>
              <w:t>, указанно</w:t>
            </w:r>
            <w:r w:rsidR="00392E55">
              <w:rPr>
                <w:rFonts w:ascii="Arial" w:hAnsi="Arial" w:cs="Arial"/>
              </w:rPr>
              <w:t>м</w:t>
            </w:r>
            <w:r w:rsidRPr="00ED0613">
              <w:rPr>
                <w:rFonts w:ascii="Arial" w:hAnsi="Arial" w:cs="Arial"/>
              </w:rPr>
              <w:t xml:space="preserve"> на </w:t>
            </w:r>
            <w:r w:rsidR="00392E55">
              <w:rPr>
                <w:rFonts w:ascii="Arial" w:hAnsi="Arial" w:cs="Arial"/>
              </w:rPr>
              <w:t xml:space="preserve">заводской </w:t>
            </w:r>
            <w:r w:rsidRPr="00ED0613">
              <w:rPr>
                <w:rFonts w:ascii="Arial" w:hAnsi="Arial" w:cs="Arial"/>
              </w:rPr>
              <w:t xml:space="preserve">табличке. </w:t>
            </w:r>
            <w:r w:rsidR="00392E55">
              <w:rPr>
                <w:rFonts w:ascii="Arial" w:hAnsi="Arial" w:cs="Arial"/>
              </w:rPr>
              <w:t>Соединительный к</w:t>
            </w:r>
            <w:r w:rsidRPr="00ED0613">
              <w:rPr>
                <w:rFonts w:ascii="Arial" w:hAnsi="Arial" w:cs="Arial"/>
              </w:rPr>
              <w:t xml:space="preserve">абель (подачи напряжения от сварочного источника) </w:t>
            </w:r>
            <w:r w:rsidR="00C728A3">
              <w:rPr>
                <w:rFonts w:ascii="Arial" w:hAnsi="Arial" w:cs="Arial"/>
              </w:rPr>
              <w:t xml:space="preserve">предварительно уже </w:t>
            </w:r>
            <w:r w:rsidRPr="00ED0613">
              <w:rPr>
                <w:rFonts w:ascii="Arial" w:hAnsi="Arial" w:cs="Arial"/>
              </w:rPr>
              <w:t xml:space="preserve">установлен. </w:t>
            </w:r>
            <w:r w:rsidR="00392E55">
              <w:rPr>
                <w:rFonts w:ascii="Arial" w:hAnsi="Arial" w:cs="Arial"/>
              </w:rPr>
              <w:t>Высота</w:t>
            </w:r>
            <w:r w:rsidRPr="00ED0613">
              <w:rPr>
                <w:rFonts w:ascii="Arial" w:hAnsi="Arial" w:cs="Arial"/>
              </w:rPr>
              <w:t xml:space="preserve"> </w:t>
            </w:r>
            <w:r w:rsidR="00392E55">
              <w:rPr>
                <w:rFonts w:ascii="Arial" w:hAnsi="Arial" w:cs="Arial"/>
              </w:rPr>
              <w:t xml:space="preserve">защитных </w:t>
            </w:r>
            <w:r w:rsidRPr="00ED0613">
              <w:rPr>
                <w:rFonts w:ascii="Arial" w:hAnsi="Arial" w:cs="Arial"/>
              </w:rPr>
              <w:t>ограждени</w:t>
            </w:r>
            <w:r w:rsidR="00392E55">
              <w:rPr>
                <w:rFonts w:ascii="Arial" w:hAnsi="Arial" w:cs="Arial"/>
              </w:rPr>
              <w:t>й</w:t>
            </w:r>
            <w:r w:rsidRPr="00ED0613">
              <w:rPr>
                <w:rFonts w:ascii="Arial" w:hAnsi="Arial" w:cs="Arial"/>
              </w:rPr>
              <w:t xml:space="preserve"> </w:t>
            </w:r>
            <w:r w:rsidR="00392E55">
              <w:rPr>
                <w:rFonts w:ascii="Arial" w:hAnsi="Arial" w:cs="Arial"/>
              </w:rPr>
              <w:t>указана в</w:t>
            </w:r>
            <w:r w:rsidRPr="00ED0613">
              <w:rPr>
                <w:rFonts w:ascii="Arial" w:hAnsi="Arial" w:cs="Arial"/>
              </w:rPr>
              <w:t xml:space="preserve"> техническ</w:t>
            </w:r>
            <w:r w:rsidR="00392E55">
              <w:rPr>
                <w:rFonts w:ascii="Arial" w:hAnsi="Arial" w:cs="Arial"/>
              </w:rPr>
              <w:t>их данных</w:t>
            </w:r>
            <w:r w:rsidRPr="00ED0613">
              <w:rPr>
                <w:rFonts w:ascii="Arial" w:hAnsi="Arial" w:cs="Arial"/>
              </w:rPr>
              <w:t>. Подключение должен проводить только специально</w:t>
            </w:r>
            <w:r w:rsidR="00392E55">
              <w:rPr>
                <w:rFonts w:ascii="Arial" w:hAnsi="Arial" w:cs="Arial"/>
              </w:rPr>
              <w:t xml:space="preserve">  </w:t>
            </w:r>
            <w:r w:rsidRPr="00ED0613">
              <w:rPr>
                <w:rFonts w:ascii="Arial" w:hAnsi="Arial" w:cs="Arial"/>
              </w:rPr>
              <w:t xml:space="preserve">обученный </w:t>
            </w:r>
            <w:r w:rsidR="00392E55">
              <w:rPr>
                <w:rFonts w:ascii="Arial" w:hAnsi="Arial" w:cs="Arial"/>
              </w:rPr>
              <w:t xml:space="preserve">электротехнический </w:t>
            </w:r>
            <w:r w:rsidRPr="00ED0613">
              <w:rPr>
                <w:rFonts w:ascii="Arial" w:hAnsi="Arial" w:cs="Arial"/>
              </w:rPr>
              <w:t>персонал.</w:t>
            </w:r>
            <w:r w:rsidRPr="00ED06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41F1F" w:rsidRPr="00094524" w:rsidRDefault="00941F1F" w:rsidP="00A238BE">
      <w:bookmarkStart w:id="0" w:name="_GoBack"/>
      <w:bookmarkEnd w:id="0"/>
    </w:p>
    <w:sectPr w:rsidR="00941F1F" w:rsidRPr="00094524" w:rsidSect="00B2074C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7ACE"/>
    <w:multiLevelType w:val="hybridMultilevel"/>
    <w:tmpl w:val="3690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7692"/>
    <w:multiLevelType w:val="hybridMultilevel"/>
    <w:tmpl w:val="88CE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9586E"/>
    <w:multiLevelType w:val="hybridMultilevel"/>
    <w:tmpl w:val="F8626BF0"/>
    <w:lvl w:ilvl="0" w:tplc="095450AC">
      <w:start w:val="1"/>
      <w:numFmt w:val="decimal"/>
      <w:lvlText w:val="%1)"/>
      <w:lvlJc w:val="left"/>
      <w:pPr>
        <w:ind w:left="502" w:hanging="360"/>
      </w:pPr>
      <w:rPr>
        <w:rFonts w:ascii="Verdana" w:hAnsi="Verdan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0C"/>
    <w:rsid w:val="00094524"/>
    <w:rsid w:val="00100296"/>
    <w:rsid w:val="0018312A"/>
    <w:rsid w:val="001B0D1E"/>
    <w:rsid w:val="002F4603"/>
    <w:rsid w:val="00392E55"/>
    <w:rsid w:val="003C6785"/>
    <w:rsid w:val="004A6D90"/>
    <w:rsid w:val="005569AC"/>
    <w:rsid w:val="005E6C32"/>
    <w:rsid w:val="006077AF"/>
    <w:rsid w:val="00637E06"/>
    <w:rsid w:val="00670732"/>
    <w:rsid w:val="006D6D7F"/>
    <w:rsid w:val="007840D2"/>
    <w:rsid w:val="007A6E0C"/>
    <w:rsid w:val="009322DE"/>
    <w:rsid w:val="00941F1F"/>
    <w:rsid w:val="00A238BE"/>
    <w:rsid w:val="00A244DF"/>
    <w:rsid w:val="00A74DC2"/>
    <w:rsid w:val="00B04CE8"/>
    <w:rsid w:val="00B2074C"/>
    <w:rsid w:val="00C728A3"/>
    <w:rsid w:val="00C87C4B"/>
    <w:rsid w:val="00CD4DBD"/>
    <w:rsid w:val="00D634D2"/>
    <w:rsid w:val="00DB0282"/>
    <w:rsid w:val="00EA08BC"/>
    <w:rsid w:val="00E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5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32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5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3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Абрашкина</cp:lastModifiedBy>
  <cp:revision>22</cp:revision>
  <cp:lastPrinted>2016-11-09T11:01:00Z</cp:lastPrinted>
  <dcterms:created xsi:type="dcterms:W3CDTF">2016-09-07T06:20:00Z</dcterms:created>
  <dcterms:modified xsi:type="dcterms:W3CDTF">2016-11-09T11:02:00Z</dcterms:modified>
</cp:coreProperties>
</file>