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60" w:rsidRPr="001160DA" w:rsidRDefault="00600060" w:rsidP="00600060">
      <w:pPr>
        <w:shd w:val="clear" w:color="auto" w:fill="FFFFFF"/>
        <w:spacing w:after="0" w:line="618" w:lineRule="atLeast"/>
        <w:jc w:val="center"/>
        <w:outlineLvl w:val="0"/>
        <w:rPr>
          <w:rFonts w:eastAsia="Times New Roman" w:cs="Times New Roman"/>
          <w:b/>
          <w:bCs/>
          <w:color w:val="191919"/>
          <w:kern w:val="36"/>
          <w:sz w:val="40"/>
          <w:szCs w:val="40"/>
          <w:lang w:eastAsia="ru-RU"/>
        </w:rPr>
      </w:pPr>
      <w:r w:rsidRPr="00600060">
        <w:rPr>
          <w:rFonts w:ascii="Open Sans Condensed" w:eastAsia="Times New Roman" w:hAnsi="Open Sans Condensed" w:cs="Times New Roman"/>
          <w:b/>
          <w:bCs/>
          <w:color w:val="191919"/>
          <w:kern w:val="36"/>
          <w:sz w:val="40"/>
          <w:szCs w:val="40"/>
          <w:lang w:eastAsia="ru-RU"/>
        </w:rPr>
        <w:t>Акт разграничения балансовой принадлежности</w:t>
      </w:r>
    </w:p>
    <w:p w:rsidR="00600060" w:rsidRPr="001160DA" w:rsidRDefault="00600060" w:rsidP="00600060">
      <w:pPr>
        <w:shd w:val="clear" w:color="auto" w:fill="FFFFFF"/>
        <w:spacing w:after="0" w:line="618" w:lineRule="atLeast"/>
        <w:jc w:val="center"/>
        <w:outlineLvl w:val="0"/>
        <w:rPr>
          <w:rFonts w:eastAsia="Times New Roman" w:cs="Times New Roman"/>
          <w:b/>
          <w:bCs/>
          <w:color w:val="191919"/>
          <w:kern w:val="36"/>
          <w:sz w:val="40"/>
          <w:szCs w:val="40"/>
          <w:lang w:eastAsia="ru-RU"/>
        </w:rPr>
      </w:pPr>
    </w:p>
    <w:p w:rsidR="00600060" w:rsidRDefault="007A242B" w:rsidP="00600060">
      <w:p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Это юридический документ, необходимый для подключения физических и юридических лиц к общественным электрическим сетям.</w:t>
      </w:r>
      <w:r w:rsidR="00116B66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Он составляется уже после непосредственного присоединения объекта к</w:t>
      </w:r>
      <w:r w:rsidR="0036107D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</w:t>
      </w:r>
      <w:proofErr w:type="spellStart"/>
      <w:r w:rsidR="00116B66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энергопоставляющим</w:t>
      </w:r>
      <w:proofErr w:type="spellEnd"/>
      <w:r w:rsidR="0036107D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</w:t>
      </w:r>
      <w:r w:rsidR="00116B66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линиям. </w:t>
      </w:r>
      <w:r w:rsidR="002417C5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Его предназначение – это раздел границ ответственности между</w:t>
      </w:r>
      <w:r w:rsidR="00F32A1A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постав</w:t>
      </w:r>
      <w:r w:rsidR="00517907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щиком </w:t>
      </w:r>
      <w:r w:rsidR="00221DC3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электро</w:t>
      </w:r>
      <w:r w:rsidR="00517907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энерг</w:t>
      </w:r>
      <w:proofErr w:type="gramStart"/>
      <w:r w:rsidR="00517907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ии и её</w:t>
      </w:r>
      <w:proofErr w:type="gramEnd"/>
      <w:r w:rsidR="00517907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потребителем в процессе эксплуатации сети. </w:t>
      </w:r>
      <w:r w:rsidR="00CE76D6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В документе указывается все оборудование, участвующее в общем процессе энергопотребления: от кабельных линий</w:t>
      </w:r>
      <w:r w:rsidR="00513C46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и защит до величины токов</w:t>
      </w:r>
      <w:r w:rsidR="004C057B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и мощности оборудования.</w:t>
      </w:r>
      <w:r w:rsidR="0096520F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При этом каждая сторона договора несет персональную ответственность за</w:t>
      </w:r>
      <w:r w:rsidR="00CE76D6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</w:t>
      </w:r>
      <w:r w:rsidR="00171154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техническое состояние </w:t>
      </w:r>
      <w:r w:rsidR="00C248B9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всех элементов сети, указанных в акте.</w:t>
      </w:r>
      <w:r w:rsidR="00452E6B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В случаях аварий и других непредвиденных ситуаций, </w:t>
      </w:r>
      <w:r w:rsidR="00667691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данный </w:t>
      </w:r>
      <w:r w:rsidR="00452E6B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документ</w:t>
      </w:r>
      <w:r w:rsidR="00AB640A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разделяет сферы влияни</w:t>
      </w:r>
      <w:r w:rsidR="00BC18C9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й</w:t>
      </w:r>
      <w:r w:rsidR="00AB640A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между сторонами.</w:t>
      </w:r>
      <w:r w:rsidR="00BC18C9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Это решает спорные вопросы, возникающие в течение срока эксплуатации всего оборудования и отдельных его элементов.</w:t>
      </w:r>
      <w:r w:rsidR="00212264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Обычно в процедуре соглашения о разграничении балансовой принадлежности участвую</w:t>
      </w:r>
      <w:r w:rsidR="00667691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т</w:t>
      </w:r>
      <w:r w:rsidR="00212264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3 стороны: поставщик, потребитель и территориальный контролирующий орган.</w:t>
      </w:r>
      <w:r w:rsidR="004B0535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Непосредственно в сам акт входят следующие пункты:</w:t>
      </w:r>
    </w:p>
    <w:p w:rsidR="004B0535" w:rsidRDefault="004B0535" w:rsidP="004B0535">
      <w:pPr>
        <w:pStyle w:val="a4"/>
        <w:numPr>
          <w:ilvl w:val="0"/>
          <w:numId w:val="1"/>
        </w:num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Список обязанностей потребителя перед поставщиком электроэнергии.</w:t>
      </w:r>
    </w:p>
    <w:p w:rsidR="007E3DA0" w:rsidRDefault="004B0535" w:rsidP="00DA523F">
      <w:pPr>
        <w:pStyle w:val="a4"/>
        <w:numPr>
          <w:ilvl w:val="0"/>
          <w:numId w:val="1"/>
        </w:num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Подробные схемы электроснабжения, включающие в себя все детали и параметры.</w:t>
      </w:r>
    </w:p>
    <w:p w:rsidR="00DA523F" w:rsidRDefault="00DA523F" w:rsidP="00DA523F">
      <w:pPr>
        <w:pStyle w:val="a4"/>
        <w:numPr>
          <w:ilvl w:val="0"/>
          <w:numId w:val="1"/>
        </w:num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Указание категории надежности схем снабжения.</w:t>
      </w:r>
    </w:p>
    <w:p w:rsidR="00DA523F" w:rsidRDefault="00DA523F" w:rsidP="00DA523F">
      <w:pPr>
        <w:pStyle w:val="a4"/>
        <w:numPr>
          <w:ilvl w:val="0"/>
          <w:numId w:val="1"/>
        </w:num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Характеристики и данные о других потребителей электроустановок.</w:t>
      </w:r>
    </w:p>
    <w:p w:rsidR="00DA523F" w:rsidRDefault="00DA523F" w:rsidP="00DA523F">
      <w:pPr>
        <w:pStyle w:val="a4"/>
        <w:numPr>
          <w:ilvl w:val="0"/>
          <w:numId w:val="1"/>
        </w:num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Остальные дополнительные условия между </w:t>
      </w:r>
      <w:r w:rsidR="00273F5A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сетевой компанией и абонентом.</w:t>
      </w:r>
    </w:p>
    <w:p w:rsidR="000A78C1" w:rsidRDefault="005454B8" w:rsidP="000A78C1">
      <w:p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lastRenderedPageBreak/>
        <w:t>Если Вы хотите получить акт о технологическом присоединении</w:t>
      </w:r>
      <w:r w:rsidR="001E35AA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к электросетям</w:t>
      </w: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, договор на электроснабжение или допуска </w:t>
      </w:r>
      <w:r w:rsidR="006E2610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–</w:t>
      </w: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</w:t>
      </w:r>
      <w:r w:rsidR="006E2610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Вам необходим </w:t>
      </w:r>
      <w:r w:rsidR="000A78C1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данный </w:t>
      </w:r>
      <w:r w:rsidR="006E2610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документ!</w:t>
      </w:r>
      <w:r w:rsidR="000A78C1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Он имеет бессрочный срок действия, однако присутствуют случаи, когда его можно заключить на определенный срок: например, в случае строительства для временного ввода электроснабжения в действие.</w:t>
      </w:r>
      <w:r w:rsidR="00E75BAC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 xml:space="preserve"> В случае переоформления акта балансовой принадлежности не требуется повторная выдача им</w:t>
      </w:r>
      <w:r w:rsidR="00A81BAC"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еющихся документов и разрешений. Нужно лишь переоформление изменившихся условий:</w:t>
      </w:r>
    </w:p>
    <w:p w:rsidR="00A81BAC" w:rsidRDefault="00A81BAC" w:rsidP="00A81BAC">
      <w:pPr>
        <w:pStyle w:val="a4"/>
        <w:numPr>
          <w:ilvl w:val="0"/>
          <w:numId w:val="2"/>
        </w:num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Смены владельца.</w:t>
      </w:r>
    </w:p>
    <w:p w:rsidR="00A81BAC" w:rsidRDefault="00A81BAC" w:rsidP="00A81BAC">
      <w:pPr>
        <w:pStyle w:val="a4"/>
        <w:numPr>
          <w:ilvl w:val="0"/>
          <w:numId w:val="2"/>
        </w:num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Изменения схемы снабжения.</w:t>
      </w:r>
    </w:p>
    <w:p w:rsidR="00A81BAC" w:rsidRDefault="00A81BAC" w:rsidP="00A81BAC">
      <w:pPr>
        <w:pStyle w:val="a4"/>
        <w:numPr>
          <w:ilvl w:val="0"/>
          <w:numId w:val="2"/>
        </w:num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Изменение категории надежности объекта.</w:t>
      </w:r>
    </w:p>
    <w:p w:rsidR="00227B20" w:rsidRDefault="00227B20" w:rsidP="00A81BAC">
      <w:pPr>
        <w:pStyle w:val="a4"/>
        <w:numPr>
          <w:ilvl w:val="0"/>
          <w:numId w:val="2"/>
        </w:num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Смена мощности и/или объема электроэнергии.</w:t>
      </w:r>
    </w:p>
    <w:p w:rsidR="00622BD5" w:rsidRPr="00A81BAC" w:rsidRDefault="00622BD5" w:rsidP="00A81BAC">
      <w:pPr>
        <w:pStyle w:val="a4"/>
        <w:numPr>
          <w:ilvl w:val="0"/>
          <w:numId w:val="2"/>
        </w:numPr>
        <w:shd w:val="clear" w:color="auto" w:fill="FFFFFF"/>
        <w:spacing w:after="0" w:line="618" w:lineRule="atLeast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  <w:t>Окончание действия акта.</w:t>
      </w:r>
    </w:p>
    <w:p w:rsidR="005454B8" w:rsidRPr="00D4430D" w:rsidRDefault="005454B8" w:rsidP="005454B8">
      <w:pPr>
        <w:shd w:val="clear" w:color="auto" w:fill="FFFFFF"/>
        <w:spacing w:after="0" w:line="618" w:lineRule="atLeast"/>
        <w:ind w:firstLine="567"/>
        <w:jc w:val="both"/>
        <w:outlineLvl w:val="0"/>
        <w:rPr>
          <w:rFonts w:eastAsia="Times New Roman" w:cs="Times New Roman"/>
          <w:color w:val="191919"/>
          <w:kern w:val="36"/>
          <w:sz w:val="28"/>
          <w:szCs w:val="28"/>
          <w:lang w:eastAsia="ru-RU"/>
        </w:rPr>
      </w:pPr>
    </w:p>
    <w:sectPr w:rsidR="005454B8" w:rsidRPr="00D4430D" w:rsidSect="001941F2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5648"/>
    <w:multiLevelType w:val="hybridMultilevel"/>
    <w:tmpl w:val="97C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13C79"/>
    <w:multiLevelType w:val="hybridMultilevel"/>
    <w:tmpl w:val="68D6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1F2"/>
    <w:rsid w:val="000A78C1"/>
    <w:rsid w:val="001160DA"/>
    <w:rsid w:val="00116B66"/>
    <w:rsid w:val="00171154"/>
    <w:rsid w:val="001941F2"/>
    <w:rsid w:val="001E35AA"/>
    <w:rsid w:val="00212264"/>
    <w:rsid w:val="00221DC3"/>
    <w:rsid w:val="00227B20"/>
    <w:rsid w:val="002417C5"/>
    <w:rsid w:val="00273F5A"/>
    <w:rsid w:val="0036107D"/>
    <w:rsid w:val="00452E6B"/>
    <w:rsid w:val="004B0535"/>
    <w:rsid w:val="004C057B"/>
    <w:rsid w:val="00513C46"/>
    <w:rsid w:val="00517907"/>
    <w:rsid w:val="005454B8"/>
    <w:rsid w:val="00600060"/>
    <w:rsid w:val="00622BD5"/>
    <w:rsid w:val="00661BEA"/>
    <w:rsid w:val="00667691"/>
    <w:rsid w:val="006E2610"/>
    <w:rsid w:val="007A242B"/>
    <w:rsid w:val="007E3DA0"/>
    <w:rsid w:val="0096520F"/>
    <w:rsid w:val="009C3509"/>
    <w:rsid w:val="00A81BAC"/>
    <w:rsid w:val="00AB640A"/>
    <w:rsid w:val="00BC18C9"/>
    <w:rsid w:val="00C02371"/>
    <w:rsid w:val="00C1373C"/>
    <w:rsid w:val="00C248B9"/>
    <w:rsid w:val="00CE76D6"/>
    <w:rsid w:val="00D4430D"/>
    <w:rsid w:val="00DA523F"/>
    <w:rsid w:val="00E75BAC"/>
    <w:rsid w:val="00F3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A0"/>
  </w:style>
  <w:style w:type="paragraph" w:styleId="1">
    <w:name w:val="heading 1"/>
    <w:basedOn w:val="a"/>
    <w:link w:val="10"/>
    <w:uiPriority w:val="9"/>
    <w:qFormat/>
    <w:rsid w:val="00600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00060"/>
    <w:rPr>
      <w:b/>
      <w:bCs/>
    </w:rPr>
  </w:style>
  <w:style w:type="paragraph" w:styleId="a4">
    <w:name w:val="List Paragraph"/>
    <w:basedOn w:val="a"/>
    <w:uiPriority w:val="34"/>
    <w:qFormat/>
    <w:rsid w:val="004B0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36</cp:revision>
  <dcterms:created xsi:type="dcterms:W3CDTF">2017-04-30T12:58:00Z</dcterms:created>
  <dcterms:modified xsi:type="dcterms:W3CDTF">2017-04-30T14:24:00Z</dcterms:modified>
</cp:coreProperties>
</file>