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C89" w:rsidRPr="00485C89" w:rsidRDefault="00485C89" w:rsidP="00485C89">
      <w:pPr>
        <w:pStyle w:val="a3"/>
        <w:shd w:val="clear" w:color="auto" w:fill="FFFFFF"/>
        <w:spacing w:before="0" w:beforeAutospacing="0" w:after="136" w:afterAutospacing="0" w:line="285" w:lineRule="atLeast"/>
        <w:ind w:firstLine="709"/>
        <w:contextualSpacing/>
        <w:jc w:val="both"/>
        <w:rPr>
          <w:b/>
          <w:lang w:val="en-US"/>
        </w:rPr>
      </w:pPr>
      <w:r w:rsidRPr="00485C89">
        <w:rPr>
          <w:b/>
        </w:rPr>
        <w:t>Харвони (</w:t>
      </w:r>
      <w:r w:rsidRPr="00485C89">
        <w:rPr>
          <w:b/>
          <w:lang w:val="en-US"/>
        </w:rPr>
        <w:t>Harvoni)</w:t>
      </w:r>
    </w:p>
    <w:p w:rsidR="00485C89" w:rsidRDefault="00485C89" w:rsidP="00485C89">
      <w:pPr>
        <w:pStyle w:val="a3"/>
        <w:shd w:val="clear" w:color="auto" w:fill="FFFFFF"/>
        <w:spacing w:before="0" w:beforeAutospacing="0" w:after="136" w:afterAutospacing="0" w:line="285" w:lineRule="atLeast"/>
        <w:ind w:firstLine="709"/>
        <w:contextualSpacing/>
        <w:jc w:val="both"/>
        <w:rPr>
          <w:lang w:val="en-US"/>
        </w:rPr>
      </w:pPr>
    </w:p>
    <w:p w:rsidR="00485C89" w:rsidRDefault="00485C89" w:rsidP="00485C89">
      <w:pPr>
        <w:pStyle w:val="a3"/>
        <w:shd w:val="clear" w:color="auto" w:fill="FFFFFF"/>
        <w:spacing w:before="0" w:beforeAutospacing="0" w:after="136" w:afterAutospacing="0" w:line="285" w:lineRule="atLeast"/>
        <w:ind w:firstLine="709"/>
        <w:contextualSpacing/>
        <w:jc w:val="both"/>
      </w:pPr>
      <w:r w:rsidRPr="00676941">
        <w:t>Harvoni</w:t>
      </w:r>
      <w:r>
        <w:t xml:space="preserve"> – препарат нового поколения, предназначенный для лечения хронического гепатита С (вирус 1 генотипа). Препарат используется в терапии взрослых пациентов без применения интерферона. </w:t>
      </w:r>
    </w:p>
    <w:p w:rsidR="00485C89" w:rsidRDefault="00485C89" w:rsidP="00485C89">
      <w:pPr>
        <w:pStyle w:val="a3"/>
        <w:shd w:val="clear" w:color="auto" w:fill="FFFFFF"/>
        <w:spacing w:before="0" w:beforeAutospacing="0" w:after="136" w:afterAutospacing="0" w:line="285" w:lineRule="atLeast"/>
        <w:ind w:firstLine="709"/>
        <w:contextualSpacing/>
        <w:jc w:val="both"/>
      </w:pPr>
    </w:p>
    <w:p w:rsidR="00485C89" w:rsidRPr="00676941" w:rsidRDefault="00485C89" w:rsidP="00485C89">
      <w:pPr>
        <w:pStyle w:val="a3"/>
        <w:shd w:val="clear" w:color="auto" w:fill="FFFFFF"/>
        <w:spacing w:before="0" w:beforeAutospacing="0" w:after="136" w:afterAutospacing="0" w:line="285" w:lineRule="atLeast"/>
        <w:ind w:firstLine="709"/>
        <w:contextualSpacing/>
        <w:jc w:val="both"/>
        <w:rPr>
          <w:i/>
        </w:rPr>
      </w:pPr>
      <w:r w:rsidRPr="00676941">
        <w:rPr>
          <w:i/>
        </w:rPr>
        <w:t>Состав:</w:t>
      </w:r>
    </w:p>
    <w:p w:rsidR="00485C89" w:rsidRDefault="00485C89" w:rsidP="00485C89">
      <w:pPr>
        <w:pStyle w:val="a3"/>
        <w:shd w:val="clear" w:color="auto" w:fill="FFFFFF"/>
        <w:spacing w:before="0" w:beforeAutospacing="0" w:after="136" w:afterAutospacing="0" w:line="285" w:lineRule="atLeast"/>
        <w:ind w:firstLine="709"/>
        <w:contextualSpacing/>
        <w:jc w:val="both"/>
      </w:pPr>
    </w:p>
    <w:p w:rsidR="00485C89" w:rsidRDefault="00485C89" w:rsidP="00485C89">
      <w:pPr>
        <w:pStyle w:val="a3"/>
        <w:shd w:val="clear" w:color="auto" w:fill="FFFFFF"/>
        <w:spacing w:before="0" w:beforeAutospacing="0" w:after="136" w:afterAutospacing="0" w:line="285" w:lineRule="atLeast"/>
        <w:ind w:firstLine="709"/>
        <w:contextualSpacing/>
        <w:jc w:val="both"/>
      </w:pPr>
      <w:r w:rsidRPr="00676941">
        <w:t>Harvoni</w:t>
      </w:r>
      <w:r>
        <w:t xml:space="preserve"> представляет собой таблетки в форме ромба, покрытые оранжевой оболочкой. Каждая таблетка содержит 400 мг софосбувира и 90 мг ледипасвира. </w:t>
      </w:r>
    </w:p>
    <w:p w:rsidR="00485C89" w:rsidRDefault="00485C89" w:rsidP="00485C89">
      <w:pPr>
        <w:pStyle w:val="a3"/>
        <w:shd w:val="clear" w:color="auto" w:fill="FFFFFF"/>
        <w:spacing w:before="0" w:beforeAutospacing="0" w:after="136" w:afterAutospacing="0" w:line="285" w:lineRule="atLeast"/>
        <w:ind w:firstLine="709"/>
        <w:contextualSpacing/>
        <w:jc w:val="both"/>
      </w:pPr>
    </w:p>
    <w:p w:rsidR="00485C89" w:rsidRDefault="00485C89" w:rsidP="00485C89">
      <w:pPr>
        <w:pStyle w:val="a3"/>
        <w:shd w:val="clear" w:color="auto" w:fill="FFFFFF"/>
        <w:spacing w:before="0" w:beforeAutospacing="0" w:after="136" w:afterAutospacing="0" w:line="285" w:lineRule="atLeast"/>
        <w:ind w:firstLine="709"/>
        <w:contextualSpacing/>
        <w:jc w:val="both"/>
        <w:rPr>
          <w:i/>
        </w:rPr>
      </w:pPr>
      <w:r>
        <w:rPr>
          <w:i/>
        </w:rPr>
        <w:t>Вспомогательные вещества:</w:t>
      </w:r>
    </w:p>
    <w:p w:rsidR="00485C89" w:rsidRDefault="00485C89" w:rsidP="00485C89">
      <w:pPr>
        <w:pStyle w:val="a3"/>
        <w:shd w:val="clear" w:color="auto" w:fill="FFFFFF"/>
        <w:spacing w:before="0" w:beforeAutospacing="0" w:after="136" w:afterAutospacing="0" w:line="285" w:lineRule="atLeast"/>
        <w:ind w:firstLine="709"/>
        <w:contextualSpacing/>
        <w:jc w:val="both"/>
        <w:rPr>
          <w:i/>
        </w:rPr>
      </w:pPr>
    </w:p>
    <w:p w:rsidR="00485C89" w:rsidRDefault="00485C89" w:rsidP="00485C89">
      <w:pPr>
        <w:pStyle w:val="a3"/>
        <w:numPr>
          <w:ilvl w:val="0"/>
          <w:numId w:val="1"/>
        </w:numPr>
        <w:shd w:val="clear" w:color="auto" w:fill="FFFFFF"/>
        <w:spacing w:before="0" w:beforeAutospacing="0" w:after="136" w:afterAutospacing="0" w:line="285" w:lineRule="atLeast"/>
        <w:contextualSpacing/>
        <w:jc w:val="both"/>
      </w:pPr>
      <w:r>
        <w:t>стеарат магния;</w:t>
      </w:r>
    </w:p>
    <w:p w:rsidR="00485C89" w:rsidRDefault="00485C89" w:rsidP="00485C89">
      <w:pPr>
        <w:pStyle w:val="a3"/>
        <w:numPr>
          <w:ilvl w:val="0"/>
          <w:numId w:val="1"/>
        </w:numPr>
        <w:shd w:val="clear" w:color="auto" w:fill="FFFFFF"/>
        <w:spacing w:before="0" w:beforeAutospacing="0" w:after="136" w:afterAutospacing="0" w:line="285" w:lineRule="atLeast"/>
        <w:contextualSpacing/>
        <w:jc w:val="both"/>
      </w:pPr>
      <w:r>
        <w:t>микрокристаллическая целлюлоза;</w:t>
      </w:r>
    </w:p>
    <w:p w:rsidR="00485C89" w:rsidRDefault="00485C89" w:rsidP="00485C89">
      <w:pPr>
        <w:pStyle w:val="a3"/>
        <w:numPr>
          <w:ilvl w:val="0"/>
          <w:numId w:val="1"/>
        </w:numPr>
        <w:shd w:val="clear" w:color="auto" w:fill="FFFFFF"/>
        <w:spacing w:before="0" w:beforeAutospacing="0" w:after="136" w:afterAutospacing="0" w:line="285" w:lineRule="atLeast"/>
        <w:contextualSpacing/>
        <w:jc w:val="both"/>
      </w:pPr>
      <w:r>
        <w:t>моногидрат лактозы;</w:t>
      </w:r>
    </w:p>
    <w:p w:rsidR="00485C89" w:rsidRDefault="00485C89" w:rsidP="00485C89">
      <w:pPr>
        <w:pStyle w:val="a3"/>
        <w:numPr>
          <w:ilvl w:val="0"/>
          <w:numId w:val="1"/>
        </w:numPr>
        <w:shd w:val="clear" w:color="auto" w:fill="FFFFFF"/>
        <w:spacing w:before="0" w:beforeAutospacing="0" w:after="136" w:afterAutospacing="0" w:line="285" w:lineRule="atLeast"/>
        <w:contextualSpacing/>
        <w:jc w:val="both"/>
      </w:pPr>
      <w:r>
        <w:t>макрогол 3350;</w:t>
      </w:r>
    </w:p>
    <w:p w:rsidR="00485C89" w:rsidRDefault="00485C89" w:rsidP="00485C89">
      <w:pPr>
        <w:pStyle w:val="a3"/>
        <w:numPr>
          <w:ilvl w:val="0"/>
          <w:numId w:val="1"/>
        </w:numPr>
        <w:shd w:val="clear" w:color="auto" w:fill="FFFFFF"/>
        <w:spacing w:before="0" w:beforeAutospacing="0" w:after="136" w:afterAutospacing="0" w:line="285" w:lineRule="atLeast"/>
        <w:contextualSpacing/>
        <w:jc w:val="both"/>
      </w:pPr>
      <w:r>
        <w:t>коловидон диоксида титана;</w:t>
      </w:r>
    </w:p>
    <w:p w:rsidR="00485C89" w:rsidRDefault="00485C89" w:rsidP="00485C89">
      <w:pPr>
        <w:pStyle w:val="a3"/>
        <w:numPr>
          <w:ilvl w:val="0"/>
          <w:numId w:val="1"/>
        </w:numPr>
        <w:shd w:val="clear" w:color="auto" w:fill="FFFFFF"/>
        <w:spacing w:before="0" w:beforeAutospacing="0" w:after="136" w:afterAutospacing="0" w:line="285" w:lineRule="atLeast"/>
        <w:contextualSpacing/>
        <w:jc w:val="both"/>
      </w:pPr>
      <w:r>
        <w:t>кроскармеллоза натрия;</w:t>
      </w:r>
    </w:p>
    <w:p w:rsidR="00485C89" w:rsidRDefault="00485C89" w:rsidP="00485C89">
      <w:pPr>
        <w:pStyle w:val="a3"/>
        <w:numPr>
          <w:ilvl w:val="0"/>
          <w:numId w:val="1"/>
        </w:numPr>
        <w:shd w:val="clear" w:color="auto" w:fill="FFFFFF"/>
        <w:spacing w:before="0" w:beforeAutospacing="0" w:after="136" w:afterAutospacing="0" w:line="285" w:lineRule="atLeast"/>
        <w:contextualSpacing/>
        <w:jc w:val="both"/>
      </w:pPr>
      <w:r>
        <w:t>поливиниловый спирт;</w:t>
      </w:r>
    </w:p>
    <w:p w:rsidR="00485C89" w:rsidRDefault="00485C89" w:rsidP="00485C89">
      <w:pPr>
        <w:pStyle w:val="a3"/>
        <w:numPr>
          <w:ilvl w:val="0"/>
          <w:numId w:val="1"/>
        </w:numPr>
        <w:shd w:val="clear" w:color="auto" w:fill="FFFFFF"/>
        <w:spacing w:before="0" w:beforeAutospacing="0" w:after="136" w:afterAutospacing="0" w:line="285" w:lineRule="atLeast"/>
        <w:contextualSpacing/>
        <w:jc w:val="both"/>
      </w:pPr>
      <w:r>
        <w:t>тальк.</w:t>
      </w:r>
    </w:p>
    <w:p w:rsidR="00485C89" w:rsidRDefault="00485C89" w:rsidP="00485C89">
      <w:pPr>
        <w:pStyle w:val="a3"/>
        <w:shd w:val="clear" w:color="auto" w:fill="FFFFFF"/>
        <w:spacing w:before="0" w:beforeAutospacing="0" w:after="136" w:afterAutospacing="0" w:line="285" w:lineRule="atLeast"/>
        <w:ind w:firstLine="709"/>
        <w:contextualSpacing/>
        <w:jc w:val="both"/>
        <w:rPr>
          <w:i/>
        </w:rPr>
      </w:pPr>
    </w:p>
    <w:p w:rsidR="00485C89" w:rsidRDefault="00485C89" w:rsidP="00485C89">
      <w:pPr>
        <w:pStyle w:val="a3"/>
        <w:shd w:val="clear" w:color="auto" w:fill="FFFFFF"/>
        <w:spacing w:before="0" w:beforeAutospacing="0" w:after="136" w:afterAutospacing="0" w:line="285" w:lineRule="atLeast"/>
        <w:ind w:firstLine="709"/>
        <w:contextualSpacing/>
        <w:jc w:val="both"/>
        <w:rPr>
          <w:i/>
        </w:rPr>
      </w:pPr>
      <w:r>
        <w:rPr>
          <w:i/>
        </w:rPr>
        <w:t>Условия хранения:</w:t>
      </w:r>
    </w:p>
    <w:p w:rsidR="00485C89" w:rsidRDefault="00485C89" w:rsidP="00485C89">
      <w:pPr>
        <w:pStyle w:val="a3"/>
        <w:shd w:val="clear" w:color="auto" w:fill="FFFFFF"/>
        <w:spacing w:before="0" w:beforeAutospacing="0" w:after="136" w:afterAutospacing="0" w:line="285" w:lineRule="atLeast"/>
        <w:ind w:firstLine="709"/>
        <w:contextualSpacing/>
        <w:jc w:val="both"/>
        <w:rPr>
          <w:i/>
        </w:rPr>
      </w:pPr>
    </w:p>
    <w:p w:rsidR="00485C89" w:rsidRDefault="00485C89" w:rsidP="00485C89">
      <w:pPr>
        <w:pStyle w:val="a3"/>
        <w:shd w:val="clear" w:color="auto" w:fill="FFFFFF"/>
        <w:spacing w:before="0" w:beforeAutospacing="0" w:after="136" w:afterAutospacing="0" w:line="285" w:lineRule="atLeast"/>
        <w:ind w:firstLine="709"/>
        <w:contextualSpacing/>
        <w:jc w:val="both"/>
      </w:pPr>
      <w:r>
        <w:t>Необходимо хранить препарат в темном и сухом месте, недоступном для детей. Срок годности лекарственного средства Харвони составляет 2 года.</w:t>
      </w:r>
    </w:p>
    <w:p w:rsidR="00485C89" w:rsidRDefault="00485C89" w:rsidP="00485C89">
      <w:pPr>
        <w:pStyle w:val="a3"/>
        <w:shd w:val="clear" w:color="auto" w:fill="FFFFFF"/>
        <w:spacing w:before="0" w:beforeAutospacing="0" w:after="136" w:afterAutospacing="0" w:line="285" w:lineRule="atLeast"/>
        <w:ind w:firstLine="709"/>
        <w:contextualSpacing/>
        <w:jc w:val="both"/>
      </w:pPr>
    </w:p>
    <w:p w:rsidR="00485C89" w:rsidRDefault="00485C89" w:rsidP="00485C89">
      <w:pPr>
        <w:pStyle w:val="a3"/>
        <w:shd w:val="clear" w:color="auto" w:fill="FFFFFF"/>
        <w:spacing w:before="0" w:beforeAutospacing="0" w:after="136" w:afterAutospacing="0" w:line="285" w:lineRule="atLeast"/>
        <w:ind w:firstLine="709"/>
        <w:contextualSpacing/>
        <w:jc w:val="both"/>
        <w:rPr>
          <w:i/>
        </w:rPr>
      </w:pPr>
      <w:r>
        <w:rPr>
          <w:i/>
        </w:rPr>
        <w:t>Фармакологическое действие:</w:t>
      </w:r>
    </w:p>
    <w:p w:rsidR="00485C89" w:rsidRDefault="00485C89" w:rsidP="00485C89">
      <w:pPr>
        <w:pStyle w:val="a3"/>
        <w:shd w:val="clear" w:color="auto" w:fill="FFFFFF"/>
        <w:spacing w:before="0" w:beforeAutospacing="0" w:after="136" w:afterAutospacing="0" w:line="285" w:lineRule="atLeast"/>
        <w:ind w:firstLine="709"/>
        <w:contextualSpacing/>
        <w:jc w:val="both"/>
        <w:rPr>
          <w:i/>
        </w:rPr>
      </w:pPr>
    </w:p>
    <w:p w:rsidR="00485C89" w:rsidRDefault="00485C89" w:rsidP="00485C89">
      <w:pPr>
        <w:pStyle w:val="a3"/>
        <w:shd w:val="clear" w:color="auto" w:fill="FFFFFF"/>
        <w:spacing w:before="0" w:beforeAutospacing="0" w:after="136" w:afterAutospacing="0" w:line="285" w:lineRule="atLeast"/>
        <w:ind w:firstLine="709"/>
        <w:contextualSpacing/>
        <w:jc w:val="both"/>
      </w:pPr>
      <w:r>
        <w:t xml:space="preserve">Препарат содержит два основных активных вещества – софосбувир и ледипасвир. Эти компоненты при попадании в организм блокируют ферменты, вызывающие распространение вируса гепатита С. </w:t>
      </w:r>
    </w:p>
    <w:p w:rsidR="00485C89" w:rsidRDefault="00485C89" w:rsidP="00485C89">
      <w:pPr>
        <w:pStyle w:val="a3"/>
        <w:shd w:val="clear" w:color="auto" w:fill="FFFFFF"/>
        <w:spacing w:before="0" w:beforeAutospacing="0" w:after="136" w:afterAutospacing="0" w:line="285" w:lineRule="atLeast"/>
        <w:ind w:firstLine="709"/>
        <w:contextualSpacing/>
        <w:jc w:val="both"/>
      </w:pPr>
      <w:r>
        <w:t xml:space="preserve">Терапевтический эффект от применения Харвони был подтвержден медицинскими исследованиями с участием 1500 человек. Этих людей в случайном порядке разделили на две группы. В каждой группе оказались пациенты, не проходившие курс лечения раньше, и люди, которые не получили устойчивый результат после лечения. Также в обе группы попали пациенты, страдающие циррозом печени. На протяжении 12 недель одна группа принимала лекарственное средство с содержанием рибавирина, другая группа – препарат Харвони. Целью терапии был стойкий вирусологический ответ после завершения курса. 95% пациентов, не проходивших лечение ранее, получили устойчивый вирусологический ответ уже на 8 неделе. Через 12 недель были отмечены положительные результаты у 97% пациентов. 99% людей с циррозом печени получили устойчивый вирусологический ответ спустя 12 недель. Общие результаты исследования показали, что препарат Харвони успешно борется с вирусом 1 генотипа без использования рибавирина. </w:t>
      </w:r>
    </w:p>
    <w:p w:rsidR="00485C89" w:rsidRDefault="00485C89" w:rsidP="00485C89">
      <w:pPr>
        <w:pStyle w:val="a3"/>
        <w:shd w:val="clear" w:color="auto" w:fill="FFFFFF"/>
        <w:spacing w:before="0" w:beforeAutospacing="0" w:after="136" w:afterAutospacing="0" w:line="285" w:lineRule="atLeast"/>
        <w:ind w:firstLine="709"/>
        <w:contextualSpacing/>
        <w:jc w:val="both"/>
      </w:pPr>
    </w:p>
    <w:p w:rsidR="00485C89" w:rsidRDefault="00485C89" w:rsidP="00485C89">
      <w:pPr>
        <w:pStyle w:val="a3"/>
        <w:shd w:val="clear" w:color="auto" w:fill="FFFFFF"/>
        <w:spacing w:before="0" w:beforeAutospacing="0" w:after="136" w:afterAutospacing="0" w:line="285" w:lineRule="atLeast"/>
        <w:ind w:firstLine="709"/>
        <w:contextualSpacing/>
        <w:jc w:val="both"/>
        <w:rPr>
          <w:i/>
        </w:rPr>
      </w:pPr>
      <w:r>
        <w:rPr>
          <w:i/>
        </w:rPr>
        <w:t>Как приобрести Харвони?</w:t>
      </w:r>
    </w:p>
    <w:p w:rsidR="00485C89" w:rsidRDefault="00485C89" w:rsidP="00485C89">
      <w:pPr>
        <w:pStyle w:val="a3"/>
        <w:shd w:val="clear" w:color="auto" w:fill="FFFFFF"/>
        <w:spacing w:before="0" w:beforeAutospacing="0" w:after="136" w:afterAutospacing="0" w:line="285" w:lineRule="atLeast"/>
        <w:ind w:firstLine="709"/>
        <w:contextualSpacing/>
        <w:jc w:val="both"/>
        <w:rPr>
          <w:i/>
        </w:rPr>
      </w:pPr>
    </w:p>
    <w:p w:rsidR="00485C89" w:rsidRDefault="00485C89" w:rsidP="00485C89">
      <w:pPr>
        <w:pStyle w:val="a3"/>
        <w:shd w:val="clear" w:color="auto" w:fill="FFFFFF"/>
        <w:spacing w:before="0" w:beforeAutospacing="0" w:after="136" w:afterAutospacing="0" w:line="285" w:lineRule="atLeast"/>
        <w:ind w:firstLine="709"/>
        <w:contextualSpacing/>
        <w:jc w:val="both"/>
      </w:pPr>
      <w:r>
        <w:t xml:space="preserve">Препарат Харвони имеет несколько лицензионных аналогов – дженериков. Эти лекарственные средства производятся в Индии, поэтому стоят значительно дешевле оригинального лекарства. На данный момент дженерики Харвони не зарегистрированы на </w:t>
      </w:r>
      <w:r>
        <w:lastRenderedPageBreak/>
        <w:t xml:space="preserve">территории России и Украины, поэтому их можно заказать только у поставщиков медицинских препаратов. </w:t>
      </w:r>
    </w:p>
    <w:p w:rsidR="00485C89" w:rsidRDefault="00485C89" w:rsidP="00485C89">
      <w:pPr>
        <w:pStyle w:val="a3"/>
        <w:shd w:val="clear" w:color="auto" w:fill="FFFFFF"/>
        <w:spacing w:before="0" w:beforeAutospacing="0" w:after="136" w:afterAutospacing="0" w:line="285" w:lineRule="atLeast"/>
        <w:ind w:firstLine="709"/>
        <w:contextualSpacing/>
        <w:jc w:val="both"/>
      </w:pPr>
    </w:p>
    <w:p w:rsidR="00485C89" w:rsidRDefault="00485C89" w:rsidP="00485C89">
      <w:pPr>
        <w:pStyle w:val="a3"/>
        <w:shd w:val="clear" w:color="auto" w:fill="FFFFFF"/>
        <w:spacing w:before="0" w:beforeAutospacing="0" w:after="136" w:afterAutospacing="0" w:line="285" w:lineRule="atLeast"/>
        <w:ind w:firstLine="709"/>
        <w:contextualSpacing/>
        <w:jc w:val="both"/>
        <w:rPr>
          <w:i/>
        </w:rPr>
      </w:pPr>
      <w:r>
        <w:rPr>
          <w:i/>
        </w:rPr>
        <w:t>Показания к применению:</w:t>
      </w:r>
    </w:p>
    <w:p w:rsidR="00485C89" w:rsidRDefault="00485C89" w:rsidP="00485C89">
      <w:pPr>
        <w:pStyle w:val="a3"/>
        <w:shd w:val="clear" w:color="auto" w:fill="FFFFFF"/>
        <w:spacing w:before="0" w:beforeAutospacing="0" w:after="136" w:afterAutospacing="0" w:line="285" w:lineRule="atLeast"/>
        <w:ind w:firstLine="709"/>
        <w:contextualSpacing/>
        <w:jc w:val="both"/>
        <w:rPr>
          <w:i/>
        </w:rPr>
      </w:pPr>
    </w:p>
    <w:p w:rsidR="00485C89" w:rsidRDefault="00485C89" w:rsidP="00485C89">
      <w:pPr>
        <w:pStyle w:val="a3"/>
        <w:shd w:val="clear" w:color="auto" w:fill="FFFFFF"/>
        <w:spacing w:before="0" w:beforeAutospacing="0" w:after="136" w:afterAutospacing="0" w:line="285" w:lineRule="atLeast"/>
        <w:ind w:firstLine="709"/>
        <w:contextualSpacing/>
        <w:jc w:val="both"/>
      </w:pPr>
      <w:r>
        <w:t xml:space="preserve">Препарат Харвони назначают для лечения хронического гепатита С генотипа 1. Средство применяется вне зависимости от того, страдает ли пациент циррозом печени. </w:t>
      </w:r>
    </w:p>
    <w:p w:rsidR="00485C89" w:rsidRDefault="00485C89" w:rsidP="00485C89">
      <w:pPr>
        <w:pStyle w:val="a3"/>
        <w:shd w:val="clear" w:color="auto" w:fill="FFFFFF"/>
        <w:spacing w:before="0" w:beforeAutospacing="0" w:after="136" w:afterAutospacing="0" w:line="285" w:lineRule="atLeast"/>
        <w:ind w:firstLine="709"/>
        <w:contextualSpacing/>
        <w:jc w:val="both"/>
      </w:pPr>
      <w:r>
        <w:t xml:space="preserve">Харвони эффективен для лиц, которые проходят терапию впервые или имеют неудачный опыт лечения. Если у пациента имеется непереносимость рибавирина или интерферона, Харвони станет отличной альтернативой. </w:t>
      </w:r>
    </w:p>
    <w:p w:rsidR="00485C89" w:rsidRDefault="00485C89" w:rsidP="00485C89">
      <w:pPr>
        <w:pStyle w:val="a3"/>
        <w:shd w:val="clear" w:color="auto" w:fill="FFFFFF"/>
        <w:spacing w:before="0" w:beforeAutospacing="0" w:after="136" w:afterAutospacing="0" w:line="285" w:lineRule="atLeast"/>
        <w:ind w:firstLine="709"/>
        <w:contextualSpacing/>
        <w:jc w:val="both"/>
      </w:pPr>
    </w:p>
    <w:p w:rsidR="00485C89" w:rsidRDefault="00485C89" w:rsidP="00485C89">
      <w:pPr>
        <w:pStyle w:val="a3"/>
        <w:shd w:val="clear" w:color="auto" w:fill="FFFFFF"/>
        <w:spacing w:before="0" w:beforeAutospacing="0" w:after="136" w:afterAutospacing="0" w:line="285" w:lineRule="atLeast"/>
        <w:ind w:firstLine="709"/>
        <w:contextualSpacing/>
        <w:jc w:val="both"/>
        <w:rPr>
          <w:i/>
        </w:rPr>
      </w:pPr>
      <w:r>
        <w:rPr>
          <w:i/>
        </w:rPr>
        <w:t>Противопоказания:</w:t>
      </w:r>
    </w:p>
    <w:p w:rsidR="00485C89" w:rsidRDefault="00485C89" w:rsidP="00485C89">
      <w:pPr>
        <w:pStyle w:val="a3"/>
        <w:shd w:val="clear" w:color="auto" w:fill="FFFFFF"/>
        <w:spacing w:before="0" w:beforeAutospacing="0" w:after="136" w:afterAutospacing="0" w:line="285" w:lineRule="atLeast"/>
        <w:ind w:firstLine="709"/>
        <w:contextualSpacing/>
        <w:jc w:val="both"/>
        <w:rPr>
          <w:i/>
        </w:rPr>
      </w:pPr>
    </w:p>
    <w:p w:rsidR="00485C89" w:rsidRDefault="00485C89" w:rsidP="00485C89">
      <w:pPr>
        <w:pStyle w:val="a3"/>
        <w:shd w:val="clear" w:color="auto" w:fill="FFFFFF"/>
        <w:spacing w:before="0" w:beforeAutospacing="0" w:after="136" w:afterAutospacing="0" w:line="285" w:lineRule="atLeast"/>
        <w:ind w:firstLine="709"/>
        <w:contextualSpacing/>
        <w:jc w:val="both"/>
      </w:pPr>
      <w:r>
        <w:t>Существует ряд противопоказаний к приему Харвони:</w:t>
      </w:r>
    </w:p>
    <w:p w:rsidR="00485C89" w:rsidRDefault="00485C89" w:rsidP="00485C89">
      <w:pPr>
        <w:pStyle w:val="a3"/>
        <w:numPr>
          <w:ilvl w:val="0"/>
          <w:numId w:val="2"/>
        </w:numPr>
        <w:shd w:val="clear" w:color="auto" w:fill="FFFFFF"/>
        <w:spacing w:before="0" w:beforeAutospacing="0" w:after="136" w:afterAutospacing="0" w:line="285" w:lineRule="atLeast"/>
        <w:contextualSpacing/>
        <w:jc w:val="both"/>
      </w:pPr>
      <w:r>
        <w:t>Аллергическая реакция на активные компоненты или вспомогательные вещества;</w:t>
      </w:r>
    </w:p>
    <w:p w:rsidR="00485C89" w:rsidRDefault="00485C89" w:rsidP="00485C89">
      <w:pPr>
        <w:pStyle w:val="a3"/>
        <w:numPr>
          <w:ilvl w:val="0"/>
          <w:numId w:val="2"/>
        </w:numPr>
        <w:shd w:val="clear" w:color="auto" w:fill="FFFFFF"/>
        <w:spacing w:before="0" w:beforeAutospacing="0" w:after="136" w:afterAutospacing="0" w:line="285" w:lineRule="atLeast"/>
        <w:contextualSpacing/>
        <w:jc w:val="both"/>
      </w:pPr>
      <w:r>
        <w:t>Беременность и лактация;</w:t>
      </w:r>
    </w:p>
    <w:p w:rsidR="00485C89" w:rsidRDefault="00485C89" w:rsidP="00485C89">
      <w:pPr>
        <w:pStyle w:val="a3"/>
        <w:numPr>
          <w:ilvl w:val="0"/>
          <w:numId w:val="2"/>
        </w:numPr>
        <w:shd w:val="clear" w:color="auto" w:fill="FFFFFF"/>
        <w:spacing w:before="0" w:beforeAutospacing="0" w:after="136" w:afterAutospacing="0" w:line="285" w:lineRule="atLeast"/>
        <w:contextualSpacing/>
        <w:jc w:val="both"/>
      </w:pPr>
      <w:r>
        <w:t>Возраст младше 18 лет;</w:t>
      </w:r>
    </w:p>
    <w:p w:rsidR="00485C89" w:rsidRDefault="00485C89" w:rsidP="00485C89">
      <w:pPr>
        <w:pStyle w:val="a3"/>
        <w:numPr>
          <w:ilvl w:val="0"/>
          <w:numId w:val="2"/>
        </w:numPr>
        <w:shd w:val="clear" w:color="auto" w:fill="FFFFFF"/>
        <w:spacing w:before="0" w:beforeAutospacing="0" w:after="136" w:afterAutospacing="0" w:line="285" w:lineRule="atLeast"/>
        <w:contextualSpacing/>
        <w:jc w:val="both"/>
      </w:pPr>
      <w:r>
        <w:t>Параллельное употребление препаратов с содержанием софосбувира (может привести к передозировке и ухудшению побочных эффектов).</w:t>
      </w:r>
    </w:p>
    <w:p w:rsidR="00485C89" w:rsidRDefault="00485C89" w:rsidP="00485C89">
      <w:pPr>
        <w:pStyle w:val="a3"/>
        <w:shd w:val="clear" w:color="auto" w:fill="FFFFFF"/>
        <w:spacing w:before="0" w:beforeAutospacing="0" w:after="136" w:afterAutospacing="0" w:line="285" w:lineRule="atLeast"/>
        <w:ind w:firstLine="709"/>
        <w:contextualSpacing/>
        <w:jc w:val="both"/>
      </w:pPr>
      <w:r>
        <w:t xml:space="preserve">Запрещается совместное лечение с рифампином, розувастатином, карбамазепином, фенитоином, типранавиром и препаратами, содержащими зверобой. Также нельзя принимать медикаменты с тенофовиром, эмтрицитабином, эльвитегравиром. </w:t>
      </w:r>
    </w:p>
    <w:p w:rsidR="00485C89" w:rsidRDefault="00485C89" w:rsidP="00485C89">
      <w:pPr>
        <w:pStyle w:val="a3"/>
        <w:shd w:val="clear" w:color="auto" w:fill="FFFFFF"/>
        <w:spacing w:before="0" w:beforeAutospacing="0" w:after="136" w:afterAutospacing="0" w:line="285" w:lineRule="atLeast"/>
        <w:ind w:firstLine="709"/>
        <w:contextualSpacing/>
        <w:jc w:val="both"/>
      </w:pPr>
      <w:r>
        <w:t xml:space="preserve">Пациенты с почечной и печеночной недостаточностью должны принимать Харвони с осторожностью, строго под контролем лечащего врача. </w:t>
      </w:r>
    </w:p>
    <w:p w:rsidR="00485C89" w:rsidRDefault="00485C89" w:rsidP="00485C89">
      <w:pPr>
        <w:pStyle w:val="a3"/>
        <w:shd w:val="clear" w:color="auto" w:fill="FFFFFF"/>
        <w:spacing w:before="0" w:beforeAutospacing="0" w:after="136" w:afterAutospacing="0" w:line="285" w:lineRule="atLeast"/>
        <w:ind w:firstLine="709"/>
        <w:contextualSpacing/>
        <w:jc w:val="both"/>
      </w:pPr>
      <w:r>
        <w:t xml:space="preserve">Женщины, проходящие терапию с применением Харвони, должны использовать эффективные способы предохранения. Это связано с тем, что компоненты препарата могут оказать негативное влияние на плод. </w:t>
      </w:r>
    </w:p>
    <w:p w:rsidR="00485C89" w:rsidRDefault="00485C89" w:rsidP="00485C89">
      <w:pPr>
        <w:pStyle w:val="a3"/>
        <w:shd w:val="clear" w:color="auto" w:fill="FFFFFF"/>
        <w:spacing w:before="0" w:beforeAutospacing="0" w:after="136" w:afterAutospacing="0" w:line="285" w:lineRule="atLeast"/>
        <w:ind w:firstLine="709"/>
        <w:contextualSpacing/>
        <w:jc w:val="both"/>
      </w:pPr>
      <w:r>
        <w:t xml:space="preserve">Влияние препарата на беременных и кормящих женщин недостаточно изучено. Во время терапии придется отказаться от кормления грудью, поскольку компоненты лекарства могут попасть в организм ребенка вместе с молоком. </w:t>
      </w:r>
    </w:p>
    <w:p w:rsidR="00485C89" w:rsidRDefault="00485C89" w:rsidP="00485C89">
      <w:pPr>
        <w:pStyle w:val="a3"/>
        <w:shd w:val="clear" w:color="auto" w:fill="FFFFFF"/>
        <w:spacing w:before="0" w:beforeAutospacing="0" w:after="136" w:afterAutospacing="0" w:line="285" w:lineRule="atLeast"/>
        <w:ind w:firstLine="709"/>
        <w:contextualSpacing/>
        <w:jc w:val="both"/>
      </w:pPr>
      <w:r>
        <w:t xml:space="preserve">Харвони не назначают детям из-за недостатка информации о влиянии препарата на детский организм. Взрослые пациенты принимают таблетки по назначению врача, соблюдая указанную дозировку. Если препарат вызывает тяжелые побочные эффекты, курс лечения нужно прекратить. Если во время терапии вы принимаете другие препараты, проконсультируйтесь с лечащим врачом. </w:t>
      </w:r>
    </w:p>
    <w:p w:rsidR="00485C89" w:rsidRDefault="00485C89" w:rsidP="00485C89">
      <w:pPr>
        <w:pStyle w:val="a3"/>
        <w:shd w:val="clear" w:color="auto" w:fill="FFFFFF"/>
        <w:spacing w:before="0" w:beforeAutospacing="0" w:after="136" w:afterAutospacing="0" w:line="285" w:lineRule="atLeast"/>
        <w:ind w:firstLine="709"/>
        <w:contextualSpacing/>
        <w:jc w:val="both"/>
      </w:pPr>
    </w:p>
    <w:p w:rsidR="00485C89" w:rsidRDefault="00485C89" w:rsidP="00485C89">
      <w:pPr>
        <w:pStyle w:val="a3"/>
        <w:shd w:val="clear" w:color="auto" w:fill="FFFFFF"/>
        <w:spacing w:before="0" w:beforeAutospacing="0" w:after="136" w:afterAutospacing="0" w:line="285" w:lineRule="atLeast"/>
        <w:ind w:firstLine="709"/>
        <w:contextualSpacing/>
        <w:jc w:val="both"/>
        <w:rPr>
          <w:i/>
        </w:rPr>
      </w:pPr>
      <w:r>
        <w:rPr>
          <w:i/>
        </w:rPr>
        <w:t>Побочные эффекты:</w:t>
      </w:r>
    </w:p>
    <w:p w:rsidR="00485C89" w:rsidRDefault="00485C89" w:rsidP="00485C89">
      <w:pPr>
        <w:pStyle w:val="a3"/>
        <w:shd w:val="clear" w:color="auto" w:fill="FFFFFF"/>
        <w:spacing w:before="0" w:beforeAutospacing="0" w:after="136" w:afterAutospacing="0" w:line="285" w:lineRule="atLeast"/>
        <w:ind w:firstLine="709"/>
        <w:contextualSpacing/>
        <w:jc w:val="both"/>
        <w:rPr>
          <w:i/>
        </w:rPr>
      </w:pPr>
    </w:p>
    <w:p w:rsidR="00485C89" w:rsidRDefault="00485C89" w:rsidP="00485C89">
      <w:pPr>
        <w:pStyle w:val="a3"/>
        <w:shd w:val="clear" w:color="auto" w:fill="FFFFFF"/>
        <w:spacing w:before="0" w:beforeAutospacing="0" w:after="136" w:afterAutospacing="0" w:line="285" w:lineRule="atLeast"/>
        <w:ind w:firstLine="709"/>
        <w:contextualSpacing/>
        <w:jc w:val="both"/>
      </w:pPr>
      <w:r>
        <w:t>Во время приема Харвони могут возникнуть следующие реакции:</w:t>
      </w:r>
    </w:p>
    <w:p w:rsidR="00485C89" w:rsidRDefault="00485C89" w:rsidP="00485C89">
      <w:pPr>
        <w:pStyle w:val="a3"/>
        <w:numPr>
          <w:ilvl w:val="0"/>
          <w:numId w:val="3"/>
        </w:numPr>
        <w:shd w:val="clear" w:color="auto" w:fill="FFFFFF"/>
        <w:spacing w:before="0" w:beforeAutospacing="0" w:after="136" w:afterAutospacing="0" w:line="285" w:lineRule="atLeast"/>
        <w:contextualSpacing/>
        <w:jc w:val="both"/>
      </w:pPr>
      <w:r>
        <w:t>головная боль;</w:t>
      </w:r>
    </w:p>
    <w:p w:rsidR="00485C89" w:rsidRDefault="00485C89" w:rsidP="00485C89">
      <w:pPr>
        <w:pStyle w:val="a3"/>
        <w:numPr>
          <w:ilvl w:val="0"/>
          <w:numId w:val="3"/>
        </w:numPr>
        <w:shd w:val="clear" w:color="auto" w:fill="FFFFFF"/>
        <w:spacing w:before="0" w:beforeAutospacing="0" w:after="136" w:afterAutospacing="0" w:line="285" w:lineRule="atLeast"/>
        <w:contextualSpacing/>
        <w:jc w:val="both"/>
      </w:pPr>
      <w:r>
        <w:t>повышенная утомляемость;</w:t>
      </w:r>
    </w:p>
    <w:p w:rsidR="00485C89" w:rsidRDefault="00485C89" w:rsidP="00485C89">
      <w:pPr>
        <w:pStyle w:val="a3"/>
        <w:numPr>
          <w:ilvl w:val="0"/>
          <w:numId w:val="3"/>
        </w:numPr>
        <w:shd w:val="clear" w:color="auto" w:fill="FFFFFF"/>
        <w:spacing w:before="0" w:beforeAutospacing="0" w:after="136" w:afterAutospacing="0" w:line="285" w:lineRule="atLeast"/>
        <w:contextualSpacing/>
        <w:jc w:val="both"/>
      </w:pPr>
      <w:r>
        <w:t xml:space="preserve">аллергия. </w:t>
      </w:r>
    </w:p>
    <w:p w:rsidR="00485C89" w:rsidRDefault="00485C89" w:rsidP="00485C89">
      <w:pPr>
        <w:pStyle w:val="a3"/>
        <w:shd w:val="clear" w:color="auto" w:fill="FFFFFF"/>
        <w:spacing w:before="0" w:beforeAutospacing="0" w:after="136" w:afterAutospacing="0" w:line="285" w:lineRule="atLeast"/>
        <w:ind w:firstLine="709"/>
        <w:contextualSpacing/>
        <w:jc w:val="both"/>
      </w:pPr>
      <w:r>
        <w:t xml:space="preserve">Как правило, побочные эффекты проявляются уже после первого приема лекарства. Если вы отметили, что появилась одышка, отечность, сильный зуд, курс лечения необходимо прервать и не использовать Харвони в дальнейшем. Сильные побочные реакции говорят о том, что данный препарат вам не подходит. </w:t>
      </w:r>
    </w:p>
    <w:p w:rsidR="00485C89" w:rsidRDefault="00485C89" w:rsidP="00485C89">
      <w:pPr>
        <w:pStyle w:val="a3"/>
        <w:shd w:val="clear" w:color="auto" w:fill="FFFFFF"/>
        <w:spacing w:before="0" w:beforeAutospacing="0" w:after="136" w:afterAutospacing="0" w:line="285" w:lineRule="atLeast"/>
        <w:ind w:firstLine="709"/>
        <w:contextualSpacing/>
        <w:jc w:val="both"/>
      </w:pPr>
      <w:r>
        <w:t>В начале терапии могут возникать незначительные побочные эффекты: слабость, усталость, головная боль. Если эти симптомы не ухудшают качество жизни пациента, рекомендуется продолжить курс лечения до полного выздоровления.</w:t>
      </w:r>
    </w:p>
    <w:p w:rsidR="00485C89" w:rsidRDefault="00485C89" w:rsidP="00485C89">
      <w:pPr>
        <w:pStyle w:val="a3"/>
        <w:shd w:val="clear" w:color="auto" w:fill="FFFFFF"/>
        <w:spacing w:before="0" w:beforeAutospacing="0" w:after="136" w:afterAutospacing="0" w:line="285" w:lineRule="atLeast"/>
        <w:ind w:firstLine="709"/>
        <w:contextualSpacing/>
        <w:jc w:val="both"/>
      </w:pPr>
      <w:r>
        <w:lastRenderedPageBreak/>
        <w:t xml:space="preserve">При комплексной терапии с рибавирином вероятность побочных эффектов усиливается. Медицинский препарат Харвони безопасен для пациентов, страдающих циррозом печени, однако лечение должен назначать только врач. Во время терапии пациенты с циррозом должны наблюдаться у лечащего врача. </w:t>
      </w:r>
    </w:p>
    <w:p w:rsidR="00485C89" w:rsidRDefault="00485C89" w:rsidP="00485C89">
      <w:pPr>
        <w:pStyle w:val="a3"/>
        <w:shd w:val="clear" w:color="auto" w:fill="FFFFFF"/>
        <w:spacing w:before="0" w:beforeAutospacing="0" w:after="136" w:afterAutospacing="0" w:line="285" w:lineRule="atLeast"/>
        <w:ind w:firstLine="709"/>
        <w:contextualSpacing/>
        <w:jc w:val="both"/>
      </w:pPr>
      <w:r>
        <w:t xml:space="preserve">Клинические исследования показали, что большая часть пациентов переносит препарат с легкостью и имеет значительные шансы на выздоровление. </w:t>
      </w:r>
    </w:p>
    <w:p w:rsidR="00485C89" w:rsidRDefault="00485C89" w:rsidP="00485C89">
      <w:pPr>
        <w:pStyle w:val="a3"/>
        <w:shd w:val="clear" w:color="auto" w:fill="FFFFFF"/>
        <w:spacing w:before="0" w:beforeAutospacing="0" w:after="136" w:afterAutospacing="0" w:line="285" w:lineRule="atLeast"/>
        <w:ind w:firstLine="709"/>
        <w:contextualSpacing/>
        <w:jc w:val="both"/>
      </w:pPr>
    </w:p>
    <w:p w:rsidR="00485C89" w:rsidRDefault="00485C89" w:rsidP="00485C89">
      <w:pPr>
        <w:pStyle w:val="a3"/>
        <w:shd w:val="clear" w:color="auto" w:fill="FFFFFF"/>
        <w:spacing w:before="0" w:beforeAutospacing="0" w:after="136" w:afterAutospacing="0" w:line="285" w:lineRule="atLeast"/>
        <w:ind w:firstLine="709"/>
        <w:contextualSpacing/>
        <w:jc w:val="both"/>
        <w:rPr>
          <w:i/>
        </w:rPr>
      </w:pPr>
      <w:r>
        <w:rPr>
          <w:i/>
        </w:rPr>
        <w:t>Способ применения и дозы:</w:t>
      </w:r>
    </w:p>
    <w:p w:rsidR="00485C89" w:rsidRDefault="00485C89" w:rsidP="00485C89">
      <w:pPr>
        <w:pStyle w:val="a3"/>
        <w:shd w:val="clear" w:color="auto" w:fill="FFFFFF"/>
        <w:spacing w:before="0" w:beforeAutospacing="0" w:after="136" w:afterAutospacing="0" w:line="285" w:lineRule="atLeast"/>
        <w:ind w:firstLine="709"/>
        <w:contextualSpacing/>
        <w:jc w:val="both"/>
        <w:rPr>
          <w:i/>
        </w:rPr>
      </w:pPr>
    </w:p>
    <w:p w:rsidR="00485C89" w:rsidRDefault="00485C89" w:rsidP="00485C89">
      <w:pPr>
        <w:pStyle w:val="a3"/>
        <w:shd w:val="clear" w:color="auto" w:fill="FFFFFF"/>
        <w:spacing w:before="0" w:beforeAutospacing="0" w:after="136" w:afterAutospacing="0" w:line="285" w:lineRule="atLeast"/>
        <w:ind w:firstLine="709"/>
        <w:contextualSpacing/>
        <w:jc w:val="both"/>
      </w:pPr>
      <w:r>
        <w:t xml:space="preserve">Рекомендуемая доза – 1 таблетка в день. Препарат нужно принимать во время еды, запивая небольшим количеством воды. Таблетки необходимо проглатывать полностью, нельзя измельчать или жевать. Для достижения наилучшего результата принимайте Харвони каждый день в одно и то же время. </w:t>
      </w:r>
    </w:p>
    <w:p w:rsidR="00485C89" w:rsidRDefault="00485C89" w:rsidP="00485C89">
      <w:pPr>
        <w:pStyle w:val="a3"/>
        <w:shd w:val="clear" w:color="auto" w:fill="FFFFFF"/>
        <w:spacing w:before="0" w:beforeAutospacing="0" w:after="136" w:afterAutospacing="0" w:line="285" w:lineRule="atLeast"/>
        <w:ind w:firstLine="709"/>
        <w:contextualSpacing/>
        <w:jc w:val="both"/>
      </w:pPr>
      <w:r>
        <w:t xml:space="preserve">Если вы пропустили прием препарата, не нужно принимать двойную дозу. Возобновите прием, приняв таблетку в обычное время. Продолжительность лечения для пациентов с ВГС 1 генотипа составляет 12 недель. Принимайте препарат ежедневно, даже если почувствуете улучшение или незначительные побочные эффекты. </w:t>
      </w:r>
    </w:p>
    <w:p w:rsidR="00485C89" w:rsidRDefault="00485C89" w:rsidP="00485C89">
      <w:pPr>
        <w:pStyle w:val="a3"/>
        <w:shd w:val="clear" w:color="auto" w:fill="FFFFFF"/>
        <w:spacing w:before="0" w:beforeAutospacing="0" w:after="136" w:afterAutospacing="0" w:line="285" w:lineRule="atLeast"/>
        <w:ind w:firstLine="709"/>
        <w:contextualSpacing/>
        <w:jc w:val="both"/>
      </w:pPr>
      <w:r>
        <w:t xml:space="preserve">Пациенты, страдающие компенсированным циррозом печени, должны употреблять Харвони в течение 24 недель. Такая же продолжительность курса рекомендуется и для лиц, которые проходят терапию повторно. </w:t>
      </w:r>
    </w:p>
    <w:p w:rsidR="00485C89" w:rsidRDefault="00485C89" w:rsidP="00485C89">
      <w:pPr>
        <w:pStyle w:val="a3"/>
        <w:shd w:val="clear" w:color="auto" w:fill="FFFFFF"/>
        <w:spacing w:before="0" w:beforeAutospacing="0" w:after="136" w:afterAutospacing="0" w:line="285" w:lineRule="atLeast"/>
        <w:ind w:firstLine="709"/>
        <w:contextualSpacing/>
        <w:jc w:val="both"/>
      </w:pPr>
      <w:r>
        <w:t>Длительность лечения и схема приема зависит от назначений лечащего врача и состояния пациента. Если 12-недельный курс лечения не вызывает устойчивый вирусологический эффект, дальнейшая терапия с применением Харвони не имеет смысла.</w:t>
      </w:r>
    </w:p>
    <w:p w:rsidR="00485C89" w:rsidRDefault="00485C89" w:rsidP="00485C89">
      <w:pPr>
        <w:pStyle w:val="a3"/>
        <w:shd w:val="clear" w:color="auto" w:fill="FFFFFF"/>
        <w:spacing w:before="0" w:beforeAutospacing="0" w:after="136" w:afterAutospacing="0" w:line="285" w:lineRule="atLeast"/>
        <w:ind w:firstLine="709"/>
        <w:contextualSpacing/>
        <w:jc w:val="both"/>
      </w:pPr>
      <w:r>
        <w:t xml:space="preserve">При отсутствии результата следует подобрать другой препарат для лечения хронического гепатита С. В случае передозировки нужно немедленно обратиться к врачу и пройти обследования, чтобы определить степень влияния повышенной дозы препарата на организм. Точных данных о влиянии передозировки на организм пока не получено. </w:t>
      </w:r>
    </w:p>
    <w:p w:rsidR="00485C89" w:rsidRDefault="00485C89" w:rsidP="00485C89">
      <w:pPr>
        <w:pStyle w:val="a3"/>
        <w:shd w:val="clear" w:color="auto" w:fill="FFFFFF"/>
        <w:spacing w:before="0" w:beforeAutospacing="0" w:after="136" w:afterAutospacing="0" w:line="285" w:lineRule="atLeast"/>
        <w:ind w:firstLine="709"/>
        <w:contextualSpacing/>
        <w:jc w:val="both"/>
      </w:pPr>
      <w:r>
        <w:t>В период терапии пациент может управлять транспортным средством, но из-за повышенной утомляемости следует быть осторожным. Пожилые люди старше 65 лет, лица с печеночной или почечной недостаточностью могут принимать стандартную дозу препарата Харвони. Лекарственное средство не назначают для лечения детей, поэтому влияние Харвони на детский организм не изучено. Степень негативного воздействия на беременных и кормящих женщин не определена, поэтому препарат в таких случаях не используется.</w:t>
      </w:r>
    </w:p>
    <w:p w:rsidR="00485C89" w:rsidRDefault="00485C89" w:rsidP="00485C89">
      <w:pPr>
        <w:pStyle w:val="a3"/>
        <w:shd w:val="clear" w:color="auto" w:fill="FFFFFF"/>
        <w:spacing w:before="0" w:beforeAutospacing="0" w:after="136" w:afterAutospacing="0" w:line="285" w:lineRule="atLeast"/>
        <w:ind w:firstLine="709"/>
        <w:contextualSpacing/>
        <w:jc w:val="both"/>
      </w:pPr>
      <w:r>
        <w:t xml:space="preserve">В данный момент препарат Харвони не зарегистрирован на территории РФ, поэтому вы можете приобрести аналог лекарственного средства.   </w:t>
      </w:r>
    </w:p>
    <w:p w:rsidR="00485C89" w:rsidRDefault="00485C89" w:rsidP="00485C89"/>
    <w:p w:rsidR="00BA4AB9" w:rsidRDefault="00BA4AB9"/>
    <w:sectPr w:rsidR="00BA4AB9" w:rsidSect="00454A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7309A"/>
    <w:multiLevelType w:val="hybridMultilevel"/>
    <w:tmpl w:val="6C4CFD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647371C"/>
    <w:multiLevelType w:val="hybridMultilevel"/>
    <w:tmpl w:val="EAE4BD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3477940"/>
    <w:multiLevelType w:val="hybridMultilevel"/>
    <w:tmpl w:val="99F019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485C89"/>
    <w:rsid w:val="00485C89"/>
    <w:rsid w:val="00BA4A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C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5C8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1064</Words>
  <Characters>6070</Characters>
  <Application>Microsoft Office Word</Application>
  <DocSecurity>0</DocSecurity>
  <Lines>50</Lines>
  <Paragraphs>14</Paragraphs>
  <ScaleCrop>false</ScaleCrop>
  <Company>Reanimator Extreme Edition</Company>
  <LinksUpToDate>false</LinksUpToDate>
  <CharactersWithSpaces>7120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2017-05-23T07:38:00Z</dcterms:created>
  <dcterms:modified xsi:type="dcterms:W3CDTF">2017-05-23T07:40:00Z</dcterms:modified>
</cp:coreProperties>
</file>