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01" w:rsidRDefault="00610001">
      <w:bookmarkStart w:id="0" w:name="_GoBack"/>
      <w:r>
        <w:t xml:space="preserve">Недвижимость Испании на побережье </w:t>
      </w:r>
    </w:p>
    <w:bookmarkEnd w:id="0"/>
    <w:p w:rsidR="00610001" w:rsidRPr="00610001" w:rsidRDefault="00610001" w:rsidP="00610001">
      <w:r>
        <w:t xml:space="preserve">Благодаря </w:t>
      </w:r>
      <w:r w:rsidR="00896D18" w:rsidRPr="00610001">
        <w:t>относительно низким ценам, необыкновенной береговой линии и легендарному теплу испанского народа Испания является одним из самых привлекательных мест для туристов и эмигрантов со всего мира. Если вы ищете недвижимость в Малаге или квартиру с в</w:t>
      </w:r>
      <w:r>
        <w:t xml:space="preserve">идом на море на побережье </w:t>
      </w:r>
      <w:proofErr w:type="spellStart"/>
      <w:r>
        <w:t>Коста</w:t>
      </w:r>
      <w:proofErr w:type="spellEnd"/>
      <w:r>
        <w:t>-</w:t>
      </w:r>
      <w:proofErr w:type="spellStart"/>
      <w:r>
        <w:t>дель</w:t>
      </w:r>
      <w:proofErr w:type="spellEnd"/>
      <w:r>
        <w:t>-</w:t>
      </w:r>
      <w:r w:rsidR="00896D18" w:rsidRPr="00610001">
        <w:t>Соль или даже дом н</w:t>
      </w:r>
      <w:r>
        <w:t>а продажу в сельской местности</w:t>
      </w:r>
      <w:r w:rsidR="00896D18" w:rsidRPr="00610001">
        <w:t xml:space="preserve"> Андалусии</w:t>
      </w:r>
      <w:r w:rsidR="00CF5623">
        <w:t xml:space="preserve"> советуем прочитать нашу статью. </w:t>
      </w:r>
    </w:p>
    <w:p w:rsidR="00CF5623" w:rsidRDefault="00CF5623" w:rsidP="00896D18">
      <w:pPr>
        <w:tabs>
          <w:tab w:val="left" w:pos="1935"/>
        </w:tabs>
      </w:pPr>
      <w:r>
        <w:t xml:space="preserve">Фавориты недвижимости </w:t>
      </w:r>
    </w:p>
    <w:p w:rsidR="00551D12" w:rsidRDefault="008D1658" w:rsidP="008D1658">
      <w:pPr>
        <w:tabs>
          <w:tab w:val="left" w:pos="1935"/>
        </w:tabs>
      </w:pPr>
      <w:r>
        <w:t xml:space="preserve">Южная часть </w:t>
      </w:r>
      <w:r w:rsidR="00551D12">
        <w:t xml:space="preserve">побережья </w:t>
      </w:r>
      <w:proofErr w:type="spellStart"/>
      <w:r w:rsidR="00896D18" w:rsidRPr="00CF5623">
        <w:t>Коста</w:t>
      </w:r>
      <w:proofErr w:type="spellEnd"/>
      <w:r w:rsidR="00896D18" w:rsidRPr="00CF5623">
        <w:t>-Бланка</w:t>
      </w:r>
      <w:r w:rsidR="00CF5623">
        <w:t xml:space="preserve">, что значит в переводе </w:t>
      </w:r>
      <w:r w:rsidR="00610001" w:rsidRPr="00CF5623">
        <w:t xml:space="preserve">«Белый берег» </w:t>
      </w:r>
      <w:r w:rsidR="00896D18" w:rsidRPr="00CF5623">
        <w:t xml:space="preserve">имеет </w:t>
      </w:r>
      <w:r w:rsidR="009A684B">
        <w:t>ряд</w:t>
      </w:r>
      <w:r w:rsidR="00896D18" w:rsidRPr="00CF5623">
        <w:t xml:space="preserve"> преимуще</w:t>
      </w:r>
      <w:proofErr w:type="gramStart"/>
      <w:r w:rsidR="00896D18" w:rsidRPr="00CF5623">
        <w:t>ств дл</w:t>
      </w:r>
      <w:proofErr w:type="gramEnd"/>
      <w:r w:rsidR="00896D18" w:rsidRPr="00CF5623">
        <w:t xml:space="preserve">я </w:t>
      </w:r>
      <w:r w:rsidR="009A684B">
        <w:t>«</w:t>
      </w:r>
      <w:r w:rsidR="00896D18" w:rsidRPr="00CF5623">
        <w:t>охотников</w:t>
      </w:r>
      <w:r w:rsidR="009A684B">
        <w:t>»</w:t>
      </w:r>
      <w:r w:rsidR="00896D18" w:rsidRPr="00CF5623">
        <w:t xml:space="preserve"> за недвижимостью, в том числе множество полей для гольфа</w:t>
      </w:r>
      <w:r w:rsidR="009A684B">
        <w:t xml:space="preserve"> </w:t>
      </w:r>
      <w:r w:rsidR="00896D18" w:rsidRPr="00CF5623">
        <w:t xml:space="preserve">и почти самый здоровый климат в Европе. Цены </w:t>
      </w:r>
      <w:r w:rsidR="00551D12">
        <w:t xml:space="preserve">на </w:t>
      </w:r>
      <w:r w:rsidR="00896D18" w:rsidRPr="00CF5623">
        <w:t xml:space="preserve">двухкомнатные квартиры недалеко от моря </w:t>
      </w:r>
      <w:r w:rsidR="00551D12">
        <w:t xml:space="preserve">начинаются от 50 000€. </w:t>
      </w:r>
    </w:p>
    <w:p w:rsidR="00054E26" w:rsidRDefault="00896D18" w:rsidP="008D1658">
      <w:pPr>
        <w:tabs>
          <w:tab w:val="left" w:pos="1935"/>
        </w:tabs>
      </w:pPr>
      <w:r w:rsidRPr="00551D12">
        <w:t xml:space="preserve">Северная </w:t>
      </w:r>
      <w:r w:rsidR="00A12F8E" w:rsidRPr="00551D12">
        <w:t xml:space="preserve">часть побережья </w:t>
      </w:r>
      <w:proofErr w:type="spellStart"/>
      <w:r w:rsidRPr="00551D12">
        <w:t>Коста</w:t>
      </w:r>
      <w:proofErr w:type="spellEnd"/>
      <w:r w:rsidRPr="00551D12">
        <w:t xml:space="preserve">-Бланка, менее затронутая </w:t>
      </w:r>
      <w:r w:rsidR="00551D12">
        <w:t>многочисленными постройками. П</w:t>
      </w:r>
      <w:r w:rsidRPr="00551D12">
        <w:t xml:space="preserve">окупателей </w:t>
      </w:r>
      <w:r w:rsidR="00551D12">
        <w:t>привлекают города</w:t>
      </w:r>
      <w:r w:rsidRPr="00551D12">
        <w:t xml:space="preserve"> </w:t>
      </w:r>
      <w:proofErr w:type="spellStart"/>
      <w:r w:rsidRPr="00551D12">
        <w:t>Морайра</w:t>
      </w:r>
      <w:proofErr w:type="spellEnd"/>
      <w:r w:rsidRPr="00551D12">
        <w:t xml:space="preserve">, </w:t>
      </w:r>
      <w:proofErr w:type="spellStart"/>
      <w:r w:rsidRPr="00551D12">
        <w:t>Хаве</w:t>
      </w:r>
      <w:r w:rsidR="00551D12">
        <w:t>я</w:t>
      </w:r>
      <w:proofErr w:type="spellEnd"/>
      <w:r w:rsidR="00551D12">
        <w:t xml:space="preserve">, </w:t>
      </w:r>
      <w:proofErr w:type="spellStart"/>
      <w:r w:rsidR="00551D12">
        <w:t>Дения</w:t>
      </w:r>
      <w:proofErr w:type="spellEnd"/>
      <w:r w:rsidR="00551D12">
        <w:t xml:space="preserve">, </w:t>
      </w:r>
      <w:proofErr w:type="spellStart"/>
      <w:r w:rsidR="00551D12">
        <w:t>Кальпе</w:t>
      </w:r>
      <w:proofErr w:type="spellEnd"/>
      <w:r w:rsidR="00551D12">
        <w:t xml:space="preserve"> и </w:t>
      </w:r>
      <w:proofErr w:type="spellStart"/>
      <w:r w:rsidR="00551D12">
        <w:t>Бенисса</w:t>
      </w:r>
      <w:proofErr w:type="spellEnd"/>
      <w:r w:rsidRPr="00551D12">
        <w:t xml:space="preserve">. </w:t>
      </w:r>
      <w:r w:rsidR="006B29B1">
        <w:t>К примеру, в</w:t>
      </w:r>
      <w:r w:rsidRPr="00551D12">
        <w:t xml:space="preserve"> престижном </w:t>
      </w:r>
      <w:r w:rsidR="00551D12">
        <w:t xml:space="preserve">городе </w:t>
      </w:r>
      <w:proofErr w:type="spellStart"/>
      <w:r w:rsidRPr="00551D12">
        <w:t>Морайре</w:t>
      </w:r>
      <w:proofErr w:type="spellEnd"/>
      <w:r w:rsidRPr="00551D12">
        <w:t xml:space="preserve">, </w:t>
      </w:r>
      <w:r w:rsidR="00551D12">
        <w:t xml:space="preserve">можно приобрести комфортабельную </w:t>
      </w:r>
      <w:r w:rsidRPr="00551D12">
        <w:t>виллу с бассейном</w:t>
      </w:r>
      <w:r w:rsidR="00551D12">
        <w:t xml:space="preserve"> и тремя спальнями в 100 метрах от моря за 400 000 евро</w:t>
      </w:r>
      <w:r w:rsidRPr="00551D12">
        <w:t xml:space="preserve">, но в </w:t>
      </w:r>
      <w:proofErr w:type="spellStart"/>
      <w:r w:rsidRPr="00551D12">
        <w:t>Бенитачеле</w:t>
      </w:r>
      <w:proofErr w:type="spellEnd"/>
      <w:r w:rsidRPr="00551D12">
        <w:t xml:space="preserve"> </w:t>
      </w:r>
      <w:r w:rsidR="00551D12">
        <w:t>(р</w:t>
      </w:r>
      <w:r w:rsidR="001906CA">
        <w:t xml:space="preserve">асположен между </w:t>
      </w:r>
      <w:proofErr w:type="spellStart"/>
      <w:r w:rsidR="001906CA">
        <w:t>Хавея</w:t>
      </w:r>
      <w:proofErr w:type="spellEnd"/>
      <w:r w:rsidR="001906CA">
        <w:t xml:space="preserve"> и </w:t>
      </w:r>
      <w:proofErr w:type="spellStart"/>
      <w:proofErr w:type="gramStart"/>
      <w:r w:rsidR="001906CA">
        <w:t>Морайра</w:t>
      </w:r>
      <w:proofErr w:type="spellEnd"/>
      <w:r w:rsidR="001906CA">
        <w:t xml:space="preserve">) </w:t>
      </w:r>
      <w:proofErr w:type="gramEnd"/>
      <w:r w:rsidRPr="00551D12">
        <w:t xml:space="preserve">вы </w:t>
      </w:r>
      <w:r w:rsidR="001906CA">
        <w:t>сможете</w:t>
      </w:r>
      <w:r w:rsidR="00551D12">
        <w:t xml:space="preserve"> себе </w:t>
      </w:r>
      <w:r w:rsidR="001906CA">
        <w:t>позволить</w:t>
      </w:r>
      <w:r w:rsidRPr="00551D12">
        <w:t xml:space="preserve"> виллу </w:t>
      </w:r>
      <w:r w:rsidR="001906CA">
        <w:t xml:space="preserve">уже </w:t>
      </w:r>
      <w:r w:rsidRPr="00551D12">
        <w:t xml:space="preserve">с четырьмя </w:t>
      </w:r>
      <w:r w:rsidR="001906CA">
        <w:t xml:space="preserve">или пятью спальнями </w:t>
      </w:r>
      <w:r w:rsidRPr="00551D12">
        <w:t>за 300 000 евро.</w:t>
      </w:r>
      <w:r w:rsidRPr="001906CA">
        <w:br/>
      </w:r>
      <w:r w:rsidRPr="001906CA">
        <w:br/>
      </w:r>
      <w:r w:rsidR="001906CA">
        <w:t xml:space="preserve">Для </w:t>
      </w:r>
      <w:r w:rsidR="00B80F96">
        <w:t>тех,</w:t>
      </w:r>
      <w:r w:rsidR="001906CA">
        <w:t xml:space="preserve"> кто ищет спокойное место для жизни подальше от оживленных курортов и возможность сэкономить стоит присмотреться к </w:t>
      </w:r>
      <w:r w:rsidR="001906CA" w:rsidRPr="001906CA">
        <w:t>долин</w:t>
      </w:r>
      <w:r w:rsidR="001906CA">
        <w:t>ам</w:t>
      </w:r>
      <w:r w:rsidR="001906CA" w:rsidRPr="001906CA">
        <w:t xml:space="preserve"> </w:t>
      </w:r>
      <w:proofErr w:type="spellStart"/>
      <w:r w:rsidRPr="001906CA">
        <w:t>Орб</w:t>
      </w:r>
      <w:r w:rsidR="001906CA">
        <w:t>а</w:t>
      </w:r>
      <w:proofErr w:type="spellEnd"/>
      <w:r w:rsidRPr="001906CA">
        <w:t xml:space="preserve"> и </w:t>
      </w:r>
      <w:proofErr w:type="spellStart"/>
      <w:r w:rsidR="001906CA">
        <w:t>Халон</w:t>
      </w:r>
      <w:proofErr w:type="spellEnd"/>
      <w:r w:rsidR="001906CA">
        <w:t xml:space="preserve">. </w:t>
      </w:r>
      <w:r w:rsidRPr="001906CA">
        <w:t xml:space="preserve">В долине </w:t>
      </w:r>
      <w:proofErr w:type="spellStart"/>
      <w:r w:rsidRPr="001906CA">
        <w:t>Орба</w:t>
      </w:r>
      <w:proofErr w:type="spellEnd"/>
      <w:r w:rsidRPr="001906CA">
        <w:t xml:space="preserve"> </w:t>
      </w:r>
      <w:r w:rsidR="001906CA">
        <w:t>можно купить</w:t>
      </w:r>
      <w:r w:rsidRPr="001906CA">
        <w:t xml:space="preserve"> трехместную вилл</w:t>
      </w:r>
      <w:r w:rsidR="001906CA">
        <w:t xml:space="preserve">у с бассейном примерно за  150 </w:t>
      </w:r>
      <w:r w:rsidRPr="001906CA">
        <w:t>000-200,000</w:t>
      </w:r>
      <w:r w:rsidR="001906CA">
        <w:t xml:space="preserve"> €</w:t>
      </w:r>
      <w:r w:rsidRPr="001906CA">
        <w:t xml:space="preserve">, </w:t>
      </w:r>
      <w:r w:rsidR="001906CA">
        <w:t xml:space="preserve">или большую </w:t>
      </w:r>
      <w:r w:rsidRPr="001906CA">
        <w:t>отреставрированн</w:t>
      </w:r>
      <w:r w:rsidR="001906CA">
        <w:t xml:space="preserve">ую </w:t>
      </w:r>
      <w:r w:rsidRPr="001906CA">
        <w:t>усадьб</w:t>
      </w:r>
      <w:r w:rsidR="001906CA">
        <w:t>у</w:t>
      </w:r>
      <w:r w:rsidRPr="001906CA">
        <w:t xml:space="preserve"> за</w:t>
      </w:r>
      <w:r w:rsidR="001906CA">
        <w:t xml:space="preserve"> 450 000</w:t>
      </w:r>
      <w:r w:rsidR="001906CA" w:rsidRPr="001906CA">
        <w:t>€</w:t>
      </w:r>
      <w:r w:rsidR="008211A2">
        <w:t xml:space="preserve">. </w:t>
      </w:r>
      <w:r w:rsidRPr="001906CA">
        <w:br/>
      </w:r>
      <w:r w:rsidRPr="008211A2">
        <w:br/>
      </w:r>
      <w:r w:rsidR="008211A2" w:rsidRPr="008211A2">
        <w:t>Двиг</w:t>
      </w:r>
      <w:r w:rsidR="008211A2">
        <w:t xml:space="preserve">аясь дальше по направлению к </w:t>
      </w:r>
      <w:proofErr w:type="spellStart"/>
      <w:r w:rsidRPr="008211A2">
        <w:t>Коста</w:t>
      </w:r>
      <w:proofErr w:type="spellEnd"/>
      <w:r w:rsidRPr="008211A2">
        <w:t>-</w:t>
      </w:r>
      <w:proofErr w:type="spellStart"/>
      <w:r w:rsidRPr="008211A2">
        <w:t>дель</w:t>
      </w:r>
      <w:proofErr w:type="spellEnd"/>
      <w:r w:rsidRPr="008211A2">
        <w:t>-Соль</w:t>
      </w:r>
      <w:r w:rsidR="008211A2" w:rsidRPr="008211A2">
        <w:t xml:space="preserve"> или «Солнечный берег»</w:t>
      </w:r>
      <w:r w:rsidRPr="008211A2">
        <w:t xml:space="preserve">, </w:t>
      </w:r>
      <w:r w:rsidR="008211A2">
        <w:t>первый город</w:t>
      </w:r>
      <w:r w:rsidR="00054E26">
        <w:t xml:space="preserve"> </w:t>
      </w:r>
      <w:proofErr w:type="spellStart"/>
      <w:r w:rsidR="00054E26">
        <w:t>Марбелья</w:t>
      </w:r>
      <w:proofErr w:type="spellEnd"/>
      <w:r w:rsidR="00054E26">
        <w:t xml:space="preserve"> </w:t>
      </w:r>
      <w:r w:rsidR="008211A2">
        <w:t>заслуживающий внимания – он хорош для жизни во всех отношениях. Здесь</w:t>
      </w:r>
      <w:r w:rsidRPr="008211A2">
        <w:t xml:space="preserve"> по-настоящему бурно </w:t>
      </w:r>
      <w:r w:rsidR="008211A2">
        <w:t>развиваются все</w:t>
      </w:r>
      <w:r w:rsidRPr="008211A2">
        <w:t xml:space="preserve"> </w:t>
      </w:r>
      <w:r w:rsidR="008211A2">
        <w:t>новомодные тенденции в строительстве. Самая скромная квартира в жилом комплексе</w:t>
      </w:r>
      <w:r w:rsidRPr="008211A2">
        <w:t xml:space="preserve"> </w:t>
      </w:r>
      <w:r w:rsidR="008211A2">
        <w:t xml:space="preserve">будет стоить порядка 100 000 </w:t>
      </w:r>
      <w:r w:rsidR="008211A2" w:rsidRPr="008211A2">
        <w:t>€</w:t>
      </w:r>
      <w:r w:rsidR="008211A2">
        <w:t xml:space="preserve">, а вот за </w:t>
      </w:r>
      <w:r w:rsidRPr="008211A2">
        <w:t>просторн</w:t>
      </w:r>
      <w:r w:rsidR="008211A2">
        <w:t xml:space="preserve">ые </w:t>
      </w:r>
      <w:proofErr w:type="spellStart"/>
      <w:r w:rsidR="008211A2">
        <w:t>таунхаусы</w:t>
      </w:r>
      <w:proofErr w:type="spellEnd"/>
      <w:r w:rsidRPr="008211A2">
        <w:t xml:space="preserve"> в популярн</w:t>
      </w:r>
      <w:r w:rsidR="008211A2">
        <w:t xml:space="preserve">ых урбанизированных районах придется выложить около </w:t>
      </w:r>
      <w:r w:rsidRPr="008211A2">
        <w:t xml:space="preserve">300 000 евро. </w:t>
      </w:r>
      <w:r w:rsidR="00054E26">
        <w:t xml:space="preserve">Популярные районы включают: </w:t>
      </w:r>
    </w:p>
    <w:p w:rsidR="00054E26" w:rsidRDefault="00054E26" w:rsidP="00054E26">
      <w:pPr>
        <w:pStyle w:val="a5"/>
        <w:numPr>
          <w:ilvl w:val="0"/>
          <w:numId w:val="4"/>
        </w:numPr>
        <w:tabs>
          <w:tab w:val="left" w:pos="1935"/>
        </w:tabs>
      </w:pPr>
      <w:proofErr w:type="spellStart"/>
      <w:r>
        <w:t>Эстепона</w:t>
      </w:r>
      <w:proofErr w:type="spellEnd"/>
      <w:r>
        <w:t>;</w:t>
      </w:r>
    </w:p>
    <w:p w:rsidR="00054E26" w:rsidRDefault="00054E26" w:rsidP="00054E26">
      <w:pPr>
        <w:pStyle w:val="a5"/>
        <w:numPr>
          <w:ilvl w:val="0"/>
          <w:numId w:val="4"/>
        </w:numPr>
        <w:tabs>
          <w:tab w:val="left" w:pos="1935"/>
        </w:tabs>
      </w:pPr>
      <w:r>
        <w:t>Сан-Педро;</w:t>
      </w:r>
    </w:p>
    <w:p w:rsidR="00054E26" w:rsidRDefault="00896D18" w:rsidP="00054E26">
      <w:pPr>
        <w:pStyle w:val="a5"/>
        <w:numPr>
          <w:ilvl w:val="0"/>
          <w:numId w:val="4"/>
        </w:numPr>
        <w:tabs>
          <w:tab w:val="left" w:pos="1935"/>
        </w:tabs>
      </w:pPr>
      <w:r w:rsidRPr="008211A2">
        <w:t>Н</w:t>
      </w:r>
      <w:r w:rsidR="00054E26">
        <w:t>овая Андалусия;</w:t>
      </w:r>
    </w:p>
    <w:p w:rsidR="00054E26" w:rsidRDefault="00054E26" w:rsidP="00054E26">
      <w:pPr>
        <w:pStyle w:val="a5"/>
        <w:numPr>
          <w:ilvl w:val="0"/>
          <w:numId w:val="4"/>
        </w:numPr>
        <w:tabs>
          <w:tab w:val="left" w:pos="1935"/>
        </w:tabs>
      </w:pPr>
      <w:proofErr w:type="spellStart"/>
      <w:r>
        <w:t>Михас</w:t>
      </w:r>
      <w:proofErr w:type="spellEnd"/>
      <w:r>
        <w:t xml:space="preserve"> </w:t>
      </w:r>
      <w:proofErr w:type="spellStart"/>
      <w:r>
        <w:t>Коста</w:t>
      </w:r>
      <w:proofErr w:type="spellEnd"/>
      <w:r>
        <w:t>;</w:t>
      </w:r>
    </w:p>
    <w:p w:rsidR="00054E26" w:rsidRPr="00054E26" w:rsidRDefault="00054E26" w:rsidP="00054E26">
      <w:pPr>
        <w:pStyle w:val="a5"/>
        <w:numPr>
          <w:ilvl w:val="0"/>
          <w:numId w:val="4"/>
        </w:numPr>
        <w:tabs>
          <w:tab w:val="left" w:pos="1935"/>
        </w:tabs>
      </w:pPr>
      <w:proofErr w:type="spellStart"/>
      <w:r>
        <w:t>Бенахавис</w:t>
      </w:r>
      <w:proofErr w:type="spellEnd"/>
      <w:r>
        <w:t>.</w:t>
      </w:r>
    </w:p>
    <w:p w:rsidR="00871815" w:rsidRDefault="00054E26" w:rsidP="00054E26">
      <w:pPr>
        <w:tabs>
          <w:tab w:val="left" w:pos="1935"/>
        </w:tabs>
      </w:pPr>
      <w:r>
        <w:t>Близлежащ</w:t>
      </w:r>
      <w:r w:rsidR="002E26DE">
        <w:t xml:space="preserve">ее побережье </w:t>
      </w:r>
      <w:proofErr w:type="spellStart"/>
      <w:r>
        <w:t>Коста-дель-</w:t>
      </w:r>
      <w:r w:rsidR="00896D18" w:rsidRPr="00054E26">
        <w:t>Альмерия</w:t>
      </w:r>
      <w:proofErr w:type="spellEnd"/>
      <w:r w:rsidR="00896D18" w:rsidRPr="00054E26">
        <w:t xml:space="preserve">, </w:t>
      </w:r>
      <w:r w:rsidR="002E26DE">
        <w:t xml:space="preserve">с </w:t>
      </w:r>
      <w:r w:rsidR="00896D18" w:rsidRPr="00054E26">
        <w:t>протяже</w:t>
      </w:r>
      <w:r w:rsidR="002E26DE">
        <w:t>нной</w:t>
      </w:r>
      <w:r w:rsidR="00896D18" w:rsidRPr="00054E26">
        <w:t xml:space="preserve"> нетронутой береговой линии между </w:t>
      </w:r>
      <w:proofErr w:type="spellStart"/>
      <w:r w:rsidR="00896D18" w:rsidRPr="00054E26">
        <w:t>Мурсией</w:t>
      </w:r>
      <w:proofErr w:type="spellEnd"/>
      <w:r w:rsidR="00896D18" w:rsidRPr="00054E26">
        <w:t xml:space="preserve"> и Гранадой, не так развит</w:t>
      </w:r>
      <w:r w:rsidR="00871815">
        <w:t>о</w:t>
      </w:r>
      <w:r w:rsidR="00896D18" w:rsidRPr="00054E26">
        <w:t xml:space="preserve">, как </w:t>
      </w:r>
      <w:proofErr w:type="spellStart"/>
      <w:r w:rsidR="00896D18" w:rsidRPr="00054E26">
        <w:t>Коста</w:t>
      </w:r>
      <w:proofErr w:type="spellEnd"/>
      <w:r w:rsidR="00896D18" w:rsidRPr="00054E26">
        <w:t>-</w:t>
      </w:r>
      <w:proofErr w:type="spellStart"/>
      <w:r w:rsidR="00896D18" w:rsidRPr="00054E26">
        <w:t>дель</w:t>
      </w:r>
      <w:proofErr w:type="spellEnd"/>
      <w:r w:rsidR="00896D18" w:rsidRPr="00054E26">
        <w:t xml:space="preserve">-Соль, но ее поклонники любят </w:t>
      </w:r>
      <w:r w:rsidR="002E26DE">
        <w:t>сохранившуюся аутентичность построек. Это</w:t>
      </w:r>
      <w:r w:rsidR="00871815">
        <w:t>т</w:t>
      </w:r>
      <w:r w:rsidR="002E26DE">
        <w:t xml:space="preserve"> деревенский уголок сохранил культурный дух настоящей Испании. </w:t>
      </w:r>
      <w:r w:rsidR="00871815">
        <w:t xml:space="preserve">Именно к такому типу относится недвижимость в </w:t>
      </w:r>
      <w:proofErr w:type="spellStart"/>
      <w:r w:rsidR="00896D18" w:rsidRPr="00054E26">
        <w:t>Мохакар</w:t>
      </w:r>
      <w:proofErr w:type="spellEnd"/>
      <w:r w:rsidR="00871815">
        <w:t xml:space="preserve">, расположенные там домики имеют фольклорное название «белые деревушки». </w:t>
      </w:r>
    </w:p>
    <w:p w:rsidR="006C6A25" w:rsidRDefault="00871815" w:rsidP="00054E26">
      <w:pPr>
        <w:tabs>
          <w:tab w:val="left" w:pos="1935"/>
        </w:tabs>
      </w:pPr>
      <w:r>
        <w:t xml:space="preserve">Город расположен </w:t>
      </w:r>
      <w:r w:rsidR="00896D18" w:rsidRPr="00054E26">
        <w:t xml:space="preserve">менее чем в часе езды от аэропорта и </w:t>
      </w:r>
      <w:r>
        <w:t xml:space="preserve">отправной точкой </w:t>
      </w:r>
      <w:r w:rsidR="00896D18" w:rsidRPr="00054E26">
        <w:t xml:space="preserve">для передвижения </w:t>
      </w:r>
      <w:r>
        <w:t xml:space="preserve">по </w:t>
      </w:r>
      <w:proofErr w:type="spellStart"/>
      <w:r w:rsidR="00896D18" w:rsidRPr="00054E26">
        <w:t>Альмерии</w:t>
      </w:r>
      <w:proofErr w:type="spellEnd"/>
      <w:r w:rsidR="00896D18" w:rsidRPr="00054E26">
        <w:t xml:space="preserve">, а также традиционным местом отдыха, идеально подходящим для семей и </w:t>
      </w:r>
      <w:r w:rsidR="00896D18" w:rsidRPr="00054E26">
        <w:lastRenderedPageBreak/>
        <w:t xml:space="preserve">супружеских пар. </w:t>
      </w:r>
      <w:r>
        <w:t xml:space="preserve">Здесь большой выбор жилья, начиная </w:t>
      </w:r>
      <w:proofErr w:type="gramStart"/>
      <w:r>
        <w:t>от</w:t>
      </w:r>
      <w:proofErr w:type="gramEnd"/>
      <w:r>
        <w:t xml:space="preserve"> </w:t>
      </w:r>
      <w:proofErr w:type="gramStart"/>
      <w:r w:rsidR="00896D18" w:rsidRPr="00054E26">
        <w:t>одно</w:t>
      </w:r>
      <w:proofErr w:type="gramEnd"/>
      <w:r w:rsidR="00896D18" w:rsidRPr="00054E26">
        <w:t>- или двухместных апартаментов с бюд</w:t>
      </w:r>
      <w:r>
        <w:t>жетом в 100 000 евро, заканчивая в</w:t>
      </w:r>
      <w:r w:rsidR="00896D18" w:rsidRPr="00054E26">
        <w:t>илл</w:t>
      </w:r>
      <w:r>
        <w:t>ами</w:t>
      </w:r>
      <w:r w:rsidR="00896D18" w:rsidRPr="00054E26">
        <w:t xml:space="preserve"> </w:t>
      </w:r>
      <w:r>
        <w:t xml:space="preserve">от </w:t>
      </w:r>
      <w:r w:rsidR="00896D18" w:rsidRPr="00054E26">
        <w:t>200</w:t>
      </w:r>
      <w:r>
        <w:t xml:space="preserve"> 000 евро. </w:t>
      </w:r>
    </w:p>
    <w:p w:rsidR="006C6A25" w:rsidRPr="006C6A25" w:rsidRDefault="009A4162" w:rsidP="006C6A25">
      <w:r w:rsidRPr="009A4162">
        <w:t xml:space="preserve">Сама </w:t>
      </w:r>
      <w:proofErr w:type="spellStart"/>
      <w:r w:rsidR="006C6A25" w:rsidRPr="006C6A25">
        <w:t>Альмерия</w:t>
      </w:r>
      <w:proofErr w:type="spellEnd"/>
      <w:r w:rsidR="006C6A25" w:rsidRPr="006C6A25">
        <w:t xml:space="preserve">, расположенная на юго-востоке Испании, является одним из последних прибрежных городов, который </w:t>
      </w:r>
      <w:r>
        <w:t>«</w:t>
      </w:r>
      <w:r w:rsidR="006C6A25" w:rsidRPr="006C6A25">
        <w:t>держ</w:t>
      </w:r>
      <w:r>
        <w:t>ится»</w:t>
      </w:r>
      <w:r w:rsidR="006C6A25" w:rsidRPr="006C6A25">
        <w:t xml:space="preserve"> за испанские корни и, возможно, последний прибрежный участок, где все еще мож</w:t>
      </w:r>
      <w:r>
        <w:t xml:space="preserve">но заполучить собственный кусочек пляжа. </w:t>
      </w:r>
      <w:r w:rsidR="006C6A25" w:rsidRPr="006C6A25">
        <w:t xml:space="preserve">Несмотря на то, что продажи продолжают расти в </w:t>
      </w:r>
      <w:proofErr w:type="spellStart"/>
      <w:r w:rsidR="006C6A25" w:rsidRPr="006C6A25">
        <w:t>Альмерии</w:t>
      </w:r>
      <w:proofErr w:type="spellEnd"/>
      <w:r w:rsidR="006C6A25" w:rsidRPr="006C6A25">
        <w:t xml:space="preserve"> из года в год, цены по-прежнему очень доступные, средняя стоимость недвижимости с</w:t>
      </w:r>
      <w:r>
        <w:t>оставляет около 130 000 евро.</w:t>
      </w:r>
      <w:r>
        <w:br/>
      </w:r>
      <w:r>
        <w:br/>
      </w:r>
      <w:r w:rsidR="006C6A25" w:rsidRPr="006C6A25">
        <w:t xml:space="preserve">На Тенерифе, самом большом из испанских Канарских островов, рынок недвижимости растет вместе со средним национальным показателем Испании, а цены на жилье в настоящее время составляют 250 000 евро. </w:t>
      </w:r>
      <w:r>
        <w:t xml:space="preserve">Именно </w:t>
      </w:r>
      <w:r w:rsidR="00C402E2">
        <w:t>здесь</w:t>
      </w:r>
      <w:r>
        <w:t xml:space="preserve"> самый большой процент приобретения </w:t>
      </w:r>
      <w:r w:rsidR="00C402E2">
        <w:t>недвижимости</w:t>
      </w:r>
      <w:r>
        <w:t xml:space="preserve"> по программе </w:t>
      </w:r>
      <w:r w:rsidR="006C6A25" w:rsidRPr="006C6A25">
        <w:t>«Золотая виза»</w:t>
      </w:r>
      <w:r>
        <w:t>.</w:t>
      </w:r>
      <w:r w:rsidR="006C6A25" w:rsidRPr="006C6A25">
        <w:t xml:space="preserve"> </w:t>
      </w:r>
    </w:p>
    <w:p w:rsidR="00386D4E" w:rsidRDefault="00C402E2" w:rsidP="006C6A25">
      <w:r>
        <w:t>Цены недвижимости по состоянию на сентябрь 2016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084"/>
      </w:tblGrid>
      <w:tr w:rsidR="003412F8" w:rsidTr="00604D52">
        <w:tc>
          <w:tcPr>
            <w:tcW w:w="4077" w:type="dxa"/>
            <w:vAlign w:val="center"/>
          </w:tcPr>
          <w:p w:rsidR="003412F8" w:rsidRDefault="00F259D3" w:rsidP="00604D52">
            <w:pPr>
              <w:jc w:val="center"/>
            </w:pPr>
            <w:r>
              <w:t xml:space="preserve">Местоположение </w:t>
            </w:r>
            <w:r w:rsidR="00C159AB">
              <w:t>провинция/остров</w:t>
            </w:r>
          </w:p>
        </w:tc>
        <w:tc>
          <w:tcPr>
            <w:tcW w:w="2303" w:type="dxa"/>
            <w:vAlign w:val="center"/>
          </w:tcPr>
          <w:p w:rsidR="00F259D3" w:rsidRDefault="00F259D3" w:rsidP="00604D52">
            <w:pPr>
              <w:jc w:val="center"/>
            </w:pPr>
            <w:r>
              <w:t>Город</w:t>
            </w:r>
          </w:p>
        </w:tc>
        <w:tc>
          <w:tcPr>
            <w:tcW w:w="3084" w:type="dxa"/>
            <w:vAlign w:val="center"/>
          </w:tcPr>
          <w:p w:rsidR="003412F8" w:rsidRDefault="00F259D3" w:rsidP="00C402E2">
            <w:pPr>
              <w:jc w:val="center"/>
            </w:pPr>
            <w:r>
              <w:t>Средняя цена недвижимости в евро</w:t>
            </w:r>
          </w:p>
        </w:tc>
      </w:tr>
      <w:tr w:rsidR="003412F8" w:rsidTr="001D4D24">
        <w:tc>
          <w:tcPr>
            <w:tcW w:w="4077" w:type="dxa"/>
          </w:tcPr>
          <w:p w:rsidR="003412F8" w:rsidRDefault="001E29A1" w:rsidP="00C159AB">
            <w:hyperlink r:id="rId8" w:tgtFrame="_blank" w:history="1">
              <w:proofErr w:type="spellStart"/>
              <w:r w:rsidR="00C159AB">
                <w:t>Аликанте</w:t>
              </w:r>
              <w:proofErr w:type="spellEnd"/>
            </w:hyperlink>
          </w:p>
        </w:tc>
        <w:tc>
          <w:tcPr>
            <w:tcW w:w="2303" w:type="dxa"/>
          </w:tcPr>
          <w:p w:rsidR="003412F8" w:rsidRDefault="00F259D3" w:rsidP="006C6A25">
            <w:proofErr w:type="spellStart"/>
            <w:r>
              <w:t>Аликанте</w:t>
            </w:r>
            <w:proofErr w:type="spellEnd"/>
            <w:r>
              <w:t xml:space="preserve"> (побережье </w:t>
            </w:r>
            <w:proofErr w:type="spellStart"/>
            <w:r>
              <w:t>Коста</w:t>
            </w:r>
            <w:proofErr w:type="spellEnd"/>
            <w:r>
              <w:t>-Бланка)</w:t>
            </w:r>
          </w:p>
        </w:tc>
        <w:tc>
          <w:tcPr>
            <w:tcW w:w="3084" w:type="dxa"/>
            <w:vAlign w:val="center"/>
          </w:tcPr>
          <w:p w:rsidR="003412F8" w:rsidRDefault="00F259D3" w:rsidP="001D4D24">
            <w:pPr>
              <w:jc w:val="center"/>
            </w:pPr>
            <w:r>
              <w:t>110 000</w:t>
            </w:r>
          </w:p>
        </w:tc>
      </w:tr>
      <w:tr w:rsidR="003412F8" w:rsidTr="001D4D24">
        <w:tc>
          <w:tcPr>
            <w:tcW w:w="4077" w:type="dxa"/>
          </w:tcPr>
          <w:p w:rsidR="003412F8" w:rsidRDefault="00604D52" w:rsidP="006C6A25">
            <w:proofErr w:type="spellStart"/>
            <w:r>
              <w:t>Аликанте</w:t>
            </w:r>
            <w:proofErr w:type="spellEnd"/>
            <w:r>
              <w:t xml:space="preserve"> </w:t>
            </w:r>
          </w:p>
        </w:tc>
        <w:tc>
          <w:tcPr>
            <w:tcW w:w="2303" w:type="dxa"/>
          </w:tcPr>
          <w:p w:rsidR="003412F8" w:rsidRDefault="00604D52" w:rsidP="006C6A25">
            <w:proofErr w:type="spellStart"/>
            <w:r>
              <w:t>Бенидорм</w:t>
            </w:r>
            <w:proofErr w:type="spellEnd"/>
            <w:r>
              <w:t xml:space="preserve"> </w:t>
            </w:r>
          </w:p>
        </w:tc>
        <w:tc>
          <w:tcPr>
            <w:tcW w:w="3084" w:type="dxa"/>
            <w:vAlign w:val="center"/>
          </w:tcPr>
          <w:p w:rsidR="003412F8" w:rsidRDefault="00604D52" w:rsidP="001D4D24">
            <w:pPr>
              <w:jc w:val="center"/>
            </w:pPr>
            <w:r>
              <w:t>252 000</w:t>
            </w:r>
          </w:p>
        </w:tc>
      </w:tr>
      <w:tr w:rsidR="00604D52" w:rsidTr="001D4D24">
        <w:trPr>
          <w:trHeight w:val="145"/>
        </w:trPr>
        <w:tc>
          <w:tcPr>
            <w:tcW w:w="4077" w:type="dxa"/>
          </w:tcPr>
          <w:p w:rsidR="00604D52" w:rsidRDefault="00604D52" w:rsidP="006C6A25">
            <w:proofErr w:type="spellStart"/>
            <w:r>
              <w:t>Аликанте</w:t>
            </w:r>
            <w:proofErr w:type="spellEnd"/>
            <w:r>
              <w:t xml:space="preserve"> </w:t>
            </w:r>
          </w:p>
        </w:tc>
        <w:tc>
          <w:tcPr>
            <w:tcW w:w="2303" w:type="dxa"/>
          </w:tcPr>
          <w:p w:rsidR="00604D52" w:rsidRDefault="001E29A1" w:rsidP="006C6A25">
            <w:hyperlink r:id="rId9" w:tgtFrame="_blank" w:history="1">
              <w:proofErr w:type="spellStart"/>
              <w:r w:rsidR="00604D52" w:rsidRPr="00604D52">
                <w:t>Ориуэла</w:t>
              </w:r>
              <w:proofErr w:type="spellEnd"/>
            </w:hyperlink>
          </w:p>
        </w:tc>
        <w:tc>
          <w:tcPr>
            <w:tcW w:w="3084" w:type="dxa"/>
            <w:vAlign w:val="center"/>
          </w:tcPr>
          <w:p w:rsidR="00604D52" w:rsidRDefault="00604D52" w:rsidP="001D4D24">
            <w:pPr>
              <w:jc w:val="center"/>
            </w:pPr>
            <w:r>
              <w:t>155 000</w:t>
            </w:r>
          </w:p>
        </w:tc>
      </w:tr>
      <w:tr w:rsidR="00604D52" w:rsidTr="001D4D24">
        <w:trPr>
          <w:trHeight w:val="145"/>
        </w:trPr>
        <w:tc>
          <w:tcPr>
            <w:tcW w:w="4077" w:type="dxa"/>
          </w:tcPr>
          <w:p w:rsidR="00604D52" w:rsidRDefault="00604D52" w:rsidP="006C6A25">
            <w:proofErr w:type="spellStart"/>
            <w:r>
              <w:t>Аликанте</w:t>
            </w:r>
            <w:proofErr w:type="spellEnd"/>
            <w:r>
              <w:t xml:space="preserve"> </w:t>
            </w:r>
          </w:p>
        </w:tc>
        <w:tc>
          <w:tcPr>
            <w:tcW w:w="2303" w:type="dxa"/>
          </w:tcPr>
          <w:p w:rsidR="00604D52" w:rsidRPr="00604D52" w:rsidRDefault="00604D52" w:rsidP="006C6A25">
            <w:proofErr w:type="spellStart"/>
            <w:r>
              <w:t>Дения</w:t>
            </w:r>
            <w:proofErr w:type="spellEnd"/>
            <w:r>
              <w:t xml:space="preserve"> </w:t>
            </w:r>
          </w:p>
        </w:tc>
        <w:tc>
          <w:tcPr>
            <w:tcW w:w="3084" w:type="dxa"/>
            <w:vAlign w:val="center"/>
          </w:tcPr>
          <w:p w:rsidR="00604D52" w:rsidRDefault="001D4D24" w:rsidP="001D4D24">
            <w:pPr>
              <w:jc w:val="center"/>
            </w:pPr>
            <w:r>
              <w:t>240 000</w:t>
            </w:r>
          </w:p>
        </w:tc>
      </w:tr>
      <w:tr w:rsidR="001D4D24" w:rsidTr="001D4D24">
        <w:trPr>
          <w:trHeight w:val="145"/>
        </w:trPr>
        <w:tc>
          <w:tcPr>
            <w:tcW w:w="4077" w:type="dxa"/>
          </w:tcPr>
          <w:p w:rsidR="001D4D24" w:rsidRDefault="001D4D24" w:rsidP="006C6A25">
            <w:proofErr w:type="spellStart"/>
            <w:r>
              <w:t>Аликанте</w:t>
            </w:r>
            <w:proofErr w:type="spellEnd"/>
            <w:r>
              <w:t xml:space="preserve"> </w:t>
            </w:r>
          </w:p>
        </w:tc>
        <w:tc>
          <w:tcPr>
            <w:tcW w:w="2303" w:type="dxa"/>
          </w:tcPr>
          <w:p w:rsidR="001D4D24" w:rsidRDefault="001D4D24" w:rsidP="006C6A25">
            <w:proofErr w:type="spellStart"/>
            <w:r>
              <w:t>Торревьеха</w:t>
            </w:r>
            <w:proofErr w:type="spellEnd"/>
          </w:p>
        </w:tc>
        <w:tc>
          <w:tcPr>
            <w:tcW w:w="3084" w:type="dxa"/>
            <w:vAlign w:val="center"/>
          </w:tcPr>
          <w:p w:rsidR="001D4D24" w:rsidRDefault="001D4D24" w:rsidP="001D4D24">
            <w:pPr>
              <w:jc w:val="center"/>
            </w:pPr>
            <w:r>
              <w:t xml:space="preserve">110 000 </w:t>
            </w:r>
          </w:p>
        </w:tc>
      </w:tr>
      <w:tr w:rsidR="00604D52" w:rsidTr="001D4D24">
        <w:tc>
          <w:tcPr>
            <w:tcW w:w="4077" w:type="dxa"/>
          </w:tcPr>
          <w:p w:rsidR="00604D52" w:rsidRDefault="00604D52" w:rsidP="00BF2EB2">
            <w:proofErr w:type="spellStart"/>
            <w:r>
              <w:t>Лирия</w:t>
            </w:r>
            <w:proofErr w:type="spellEnd"/>
            <w:r>
              <w:t xml:space="preserve"> </w:t>
            </w:r>
          </w:p>
        </w:tc>
        <w:tc>
          <w:tcPr>
            <w:tcW w:w="2303" w:type="dxa"/>
          </w:tcPr>
          <w:p w:rsidR="00604D52" w:rsidRDefault="00604D52" w:rsidP="00BF2EB2">
            <w:r>
              <w:t xml:space="preserve">Валенсия </w:t>
            </w:r>
          </w:p>
        </w:tc>
        <w:tc>
          <w:tcPr>
            <w:tcW w:w="3084" w:type="dxa"/>
            <w:vAlign w:val="center"/>
          </w:tcPr>
          <w:p w:rsidR="00604D52" w:rsidRDefault="00604D52" w:rsidP="001D4D24">
            <w:pPr>
              <w:jc w:val="center"/>
            </w:pPr>
            <w:r>
              <w:t>110 000</w:t>
            </w:r>
          </w:p>
        </w:tc>
      </w:tr>
      <w:tr w:rsidR="00604D52" w:rsidTr="001D4D24">
        <w:tc>
          <w:tcPr>
            <w:tcW w:w="4077" w:type="dxa"/>
          </w:tcPr>
          <w:p w:rsidR="00604D52" w:rsidRDefault="00604D52" w:rsidP="003913FE">
            <w:r>
              <w:t>Канарские острова</w:t>
            </w:r>
          </w:p>
        </w:tc>
        <w:tc>
          <w:tcPr>
            <w:tcW w:w="2303" w:type="dxa"/>
          </w:tcPr>
          <w:p w:rsidR="00604D52" w:rsidRDefault="001E29A1" w:rsidP="00C159AB">
            <w:hyperlink r:id="rId10" w:tgtFrame="_blank" w:history="1">
              <w:proofErr w:type="spellStart"/>
              <w:r w:rsidR="00604D52" w:rsidRPr="00C159AB">
                <w:t>Корралехо</w:t>
              </w:r>
              <w:proofErr w:type="spellEnd"/>
            </w:hyperlink>
          </w:p>
        </w:tc>
        <w:tc>
          <w:tcPr>
            <w:tcW w:w="3084" w:type="dxa"/>
            <w:vAlign w:val="center"/>
          </w:tcPr>
          <w:p w:rsidR="00604D52" w:rsidRDefault="00604D52" w:rsidP="001D4D24">
            <w:pPr>
              <w:jc w:val="center"/>
            </w:pPr>
            <w:r>
              <w:t>150 000</w:t>
            </w:r>
          </w:p>
        </w:tc>
      </w:tr>
      <w:tr w:rsidR="00604D52" w:rsidTr="001D4D24">
        <w:tc>
          <w:tcPr>
            <w:tcW w:w="4077" w:type="dxa"/>
          </w:tcPr>
          <w:p w:rsidR="00604D52" w:rsidRDefault="00604D52" w:rsidP="006C6A25">
            <w:r w:rsidRPr="00C159AB">
              <w:t>Гран-</w:t>
            </w:r>
            <w:proofErr w:type="spellStart"/>
            <w:r w:rsidRPr="00C159AB">
              <w:t>Канария</w:t>
            </w:r>
            <w:proofErr w:type="spellEnd"/>
            <w:r w:rsidRPr="00C159AB">
              <w:t xml:space="preserve"> (остров)</w:t>
            </w:r>
          </w:p>
        </w:tc>
        <w:tc>
          <w:tcPr>
            <w:tcW w:w="2303" w:type="dxa"/>
          </w:tcPr>
          <w:p w:rsidR="00604D52" w:rsidRDefault="001E29A1" w:rsidP="006C6A25">
            <w:hyperlink r:id="rId11" w:tgtFrame="_blank" w:history="1">
              <w:proofErr w:type="spellStart"/>
              <w:r w:rsidR="00604D52" w:rsidRPr="00C159AB">
                <w:t>Плайя-дель-Инглес</w:t>
              </w:r>
              <w:proofErr w:type="spellEnd"/>
              <w:r w:rsidR="00604D52" w:rsidRPr="00C159AB">
                <w:t xml:space="preserve"> </w:t>
              </w:r>
            </w:hyperlink>
          </w:p>
        </w:tc>
        <w:tc>
          <w:tcPr>
            <w:tcW w:w="3084" w:type="dxa"/>
            <w:vAlign w:val="center"/>
          </w:tcPr>
          <w:p w:rsidR="00604D52" w:rsidRDefault="00604D52" w:rsidP="001D4D24">
            <w:pPr>
              <w:jc w:val="center"/>
            </w:pPr>
            <w:r>
              <w:t>159 000</w:t>
            </w:r>
          </w:p>
        </w:tc>
      </w:tr>
      <w:tr w:rsidR="00604D52" w:rsidTr="001D4D24">
        <w:tc>
          <w:tcPr>
            <w:tcW w:w="4077" w:type="dxa"/>
          </w:tcPr>
          <w:p w:rsidR="00604D52" w:rsidRDefault="001E29A1" w:rsidP="00C159AB">
            <w:hyperlink r:id="rId12" w:tgtFrame="_blank" w:history="1">
              <w:r w:rsidR="00604D52">
                <w:t>Андалусия</w:t>
              </w:r>
            </w:hyperlink>
            <w:r w:rsidR="00604D52">
              <w:t xml:space="preserve"> </w:t>
            </w:r>
            <w:r w:rsidR="00604D52" w:rsidRPr="00C159AB">
              <w:t xml:space="preserve"> </w:t>
            </w:r>
          </w:p>
        </w:tc>
        <w:tc>
          <w:tcPr>
            <w:tcW w:w="2303" w:type="dxa"/>
          </w:tcPr>
          <w:p w:rsidR="00604D52" w:rsidRDefault="00604D52" w:rsidP="006C6A25">
            <w:r>
              <w:t xml:space="preserve">Кадис </w:t>
            </w:r>
          </w:p>
        </w:tc>
        <w:tc>
          <w:tcPr>
            <w:tcW w:w="3084" w:type="dxa"/>
            <w:vAlign w:val="center"/>
          </w:tcPr>
          <w:p w:rsidR="00604D52" w:rsidRDefault="00604D52" w:rsidP="001D4D24">
            <w:pPr>
              <w:jc w:val="center"/>
            </w:pPr>
            <w:r>
              <w:t>198 000</w:t>
            </w:r>
          </w:p>
        </w:tc>
      </w:tr>
      <w:tr w:rsidR="00604D52" w:rsidTr="001D4D24">
        <w:tc>
          <w:tcPr>
            <w:tcW w:w="4077" w:type="dxa"/>
          </w:tcPr>
          <w:p w:rsidR="00604D52" w:rsidRDefault="00604D52" w:rsidP="006C6A25">
            <w:r>
              <w:t xml:space="preserve">Валенсия </w:t>
            </w:r>
          </w:p>
        </w:tc>
        <w:tc>
          <w:tcPr>
            <w:tcW w:w="2303" w:type="dxa"/>
          </w:tcPr>
          <w:p w:rsidR="00604D52" w:rsidRDefault="00604D52" w:rsidP="006C6A25">
            <w:r>
              <w:t xml:space="preserve">Валенсия </w:t>
            </w:r>
          </w:p>
        </w:tc>
        <w:tc>
          <w:tcPr>
            <w:tcW w:w="3084" w:type="dxa"/>
            <w:vAlign w:val="center"/>
          </w:tcPr>
          <w:p w:rsidR="00604D52" w:rsidRDefault="00604D52" w:rsidP="001D4D24">
            <w:pPr>
              <w:jc w:val="center"/>
            </w:pPr>
            <w:r>
              <w:t>225 000</w:t>
            </w:r>
          </w:p>
        </w:tc>
      </w:tr>
      <w:tr w:rsidR="00604D52" w:rsidTr="001D4D24">
        <w:tc>
          <w:tcPr>
            <w:tcW w:w="4077" w:type="dxa"/>
          </w:tcPr>
          <w:p w:rsidR="00604D52" w:rsidRDefault="00604D52" w:rsidP="006C6A25">
            <w:proofErr w:type="spellStart"/>
            <w:r>
              <w:t>Мурсия</w:t>
            </w:r>
            <w:proofErr w:type="spellEnd"/>
            <w:r>
              <w:t xml:space="preserve"> </w:t>
            </w:r>
          </w:p>
        </w:tc>
        <w:tc>
          <w:tcPr>
            <w:tcW w:w="2303" w:type="dxa"/>
          </w:tcPr>
          <w:p w:rsidR="00604D52" w:rsidRDefault="00604D52" w:rsidP="006C6A25">
            <w:proofErr w:type="spellStart"/>
            <w:r>
              <w:t>Мурсия</w:t>
            </w:r>
            <w:proofErr w:type="spellEnd"/>
            <w:r>
              <w:t xml:space="preserve"> </w:t>
            </w:r>
          </w:p>
        </w:tc>
        <w:tc>
          <w:tcPr>
            <w:tcW w:w="3084" w:type="dxa"/>
            <w:vAlign w:val="center"/>
          </w:tcPr>
          <w:p w:rsidR="00604D52" w:rsidRDefault="00604D52" w:rsidP="001D4D24">
            <w:pPr>
              <w:jc w:val="center"/>
            </w:pPr>
            <w:r>
              <w:t>131 000</w:t>
            </w:r>
          </w:p>
        </w:tc>
      </w:tr>
      <w:tr w:rsidR="00604D52" w:rsidTr="001D4D24">
        <w:tc>
          <w:tcPr>
            <w:tcW w:w="4077" w:type="dxa"/>
          </w:tcPr>
          <w:p w:rsidR="00604D52" w:rsidRDefault="00604D52" w:rsidP="003913FE">
            <w:r>
              <w:t xml:space="preserve">Канарские острова </w:t>
            </w:r>
          </w:p>
        </w:tc>
        <w:tc>
          <w:tcPr>
            <w:tcW w:w="2303" w:type="dxa"/>
          </w:tcPr>
          <w:p w:rsidR="00604D52" w:rsidRDefault="001E29A1" w:rsidP="006C6A25">
            <w:hyperlink r:id="rId13" w:tgtFrame="_blank" w:history="1">
              <w:r w:rsidR="00604D52" w:rsidRPr="003913FE">
                <w:t>Гран-</w:t>
              </w:r>
              <w:proofErr w:type="spellStart"/>
              <w:r w:rsidR="00604D52" w:rsidRPr="003913FE">
                <w:t>Канария</w:t>
              </w:r>
              <w:proofErr w:type="spellEnd"/>
              <w:r w:rsidR="00604D52" w:rsidRPr="003913FE">
                <w:t xml:space="preserve"> </w:t>
              </w:r>
            </w:hyperlink>
          </w:p>
        </w:tc>
        <w:tc>
          <w:tcPr>
            <w:tcW w:w="3084" w:type="dxa"/>
            <w:vAlign w:val="center"/>
          </w:tcPr>
          <w:p w:rsidR="00604D52" w:rsidRDefault="00604D52" w:rsidP="001D4D24">
            <w:pPr>
              <w:jc w:val="center"/>
            </w:pPr>
            <w:r>
              <w:t>128 000</w:t>
            </w:r>
          </w:p>
        </w:tc>
      </w:tr>
      <w:tr w:rsidR="00604D52" w:rsidTr="001D4D24">
        <w:tc>
          <w:tcPr>
            <w:tcW w:w="4077" w:type="dxa"/>
          </w:tcPr>
          <w:p w:rsidR="00604D52" w:rsidRDefault="00604D52" w:rsidP="006C6A25">
            <w:r>
              <w:t xml:space="preserve">Валенсия </w:t>
            </w:r>
          </w:p>
        </w:tc>
        <w:tc>
          <w:tcPr>
            <w:tcW w:w="2303" w:type="dxa"/>
          </w:tcPr>
          <w:p w:rsidR="00604D52" w:rsidRDefault="00604D52" w:rsidP="006C6A25">
            <w:r>
              <w:t xml:space="preserve">Олива </w:t>
            </w:r>
          </w:p>
        </w:tc>
        <w:tc>
          <w:tcPr>
            <w:tcW w:w="3084" w:type="dxa"/>
            <w:vAlign w:val="center"/>
          </w:tcPr>
          <w:p w:rsidR="00604D52" w:rsidRDefault="00604D52" w:rsidP="001D4D24">
            <w:pPr>
              <w:jc w:val="center"/>
            </w:pPr>
            <w:r>
              <w:t>139 000</w:t>
            </w:r>
          </w:p>
        </w:tc>
      </w:tr>
      <w:tr w:rsidR="00604D52" w:rsidTr="001D4D24">
        <w:tc>
          <w:tcPr>
            <w:tcW w:w="4077" w:type="dxa"/>
          </w:tcPr>
          <w:p w:rsidR="00604D52" w:rsidRDefault="00604D52" w:rsidP="00604D52">
            <w:r>
              <w:t xml:space="preserve">Ибиса (остров, </w:t>
            </w:r>
            <w:proofErr w:type="spellStart"/>
            <w:r w:rsidRPr="003913FE">
              <w:t>Балеарский</w:t>
            </w:r>
            <w:proofErr w:type="spellEnd"/>
            <w:r w:rsidRPr="003913FE">
              <w:t xml:space="preserve"> </w:t>
            </w:r>
            <w:r>
              <w:t>а</w:t>
            </w:r>
            <w:r w:rsidRPr="003913FE">
              <w:t>рхипелаг)</w:t>
            </w:r>
          </w:p>
        </w:tc>
        <w:tc>
          <w:tcPr>
            <w:tcW w:w="2303" w:type="dxa"/>
          </w:tcPr>
          <w:p w:rsidR="00604D52" w:rsidRDefault="00604D52" w:rsidP="006C6A25">
            <w:r w:rsidRPr="00604D52">
              <w:t>Сан-Хосе</w:t>
            </w:r>
          </w:p>
        </w:tc>
        <w:tc>
          <w:tcPr>
            <w:tcW w:w="3084" w:type="dxa"/>
            <w:vAlign w:val="center"/>
          </w:tcPr>
          <w:p w:rsidR="00604D52" w:rsidRDefault="00604D52" w:rsidP="001D4D24">
            <w:pPr>
              <w:jc w:val="center"/>
            </w:pPr>
            <w:r>
              <w:t>1 260 000</w:t>
            </w:r>
          </w:p>
        </w:tc>
      </w:tr>
      <w:tr w:rsidR="00604D52" w:rsidTr="001D4D24">
        <w:tc>
          <w:tcPr>
            <w:tcW w:w="4077" w:type="dxa"/>
          </w:tcPr>
          <w:p w:rsidR="00604D52" w:rsidRDefault="00604D52" w:rsidP="006C6A25">
            <w:r>
              <w:t>Ибиса</w:t>
            </w:r>
          </w:p>
        </w:tc>
        <w:tc>
          <w:tcPr>
            <w:tcW w:w="2303" w:type="dxa"/>
          </w:tcPr>
          <w:p w:rsidR="00604D52" w:rsidRDefault="00604D52" w:rsidP="006C6A25">
            <w:r>
              <w:t>Ибиса</w:t>
            </w:r>
          </w:p>
        </w:tc>
        <w:tc>
          <w:tcPr>
            <w:tcW w:w="3084" w:type="dxa"/>
            <w:vAlign w:val="center"/>
          </w:tcPr>
          <w:p w:rsidR="00604D52" w:rsidRDefault="00604D52" w:rsidP="001D4D24">
            <w:pPr>
              <w:jc w:val="center"/>
            </w:pPr>
            <w:r>
              <w:t>950 000</w:t>
            </w:r>
          </w:p>
        </w:tc>
      </w:tr>
      <w:tr w:rsidR="00604D52" w:rsidTr="001D4D24">
        <w:tc>
          <w:tcPr>
            <w:tcW w:w="4077" w:type="dxa"/>
          </w:tcPr>
          <w:p w:rsidR="00604D52" w:rsidRDefault="00604D52" w:rsidP="006C6A25">
            <w:r>
              <w:t>Ибиса</w:t>
            </w:r>
          </w:p>
        </w:tc>
        <w:tc>
          <w:tcPr>
            <w:tcW w:w="2303" w:type="dxa"/>
          </w:tcPr>
          <w:p w:rsidR="00604D52" w:rsidRDefault="001E29A1" w:rsidP="00604D52">
            <w:hyperlink r:id="rId14" w:tgtFrame="_blank" w:history="1">
              <w:r w:rsidR="00604D52" w:rsidRPr="00604D52">
                <w:t>Санта-</w:t>
              </w:r>
              <w:proofErr w:type="spellStart"/>
              <w:r w:rsidR="00604D52" w:rsidRPr="00604D52">
                <w:t>Эулалия</w:t>
              </w:r>
              <w:proofErr w:type="spellEnd"/>
              <w:r w:rsidR="00604D52" w:rsidRPr="00604D52">
                <w:t>-</w:t>
              </w:r>
              <w:proofErr w:type="spellStart"/>
              <w:r w:rsidR="00604D52" w:rsidRPr="00604D52">
                <w:t>дель</w:t>
              </w:r>
              <w:proofErr w:type="spellEnd"/>
              <w:r w:rsidR="00604D52" w:rsidRPr="00604D52">
                <w:t xml:space="preserve">-Рио </w:t>
              </w:r>
            </w:hyperlink>
          </w:p>
        </w:tc>
        <w:tc>
          <w:tcPr>
            <w:tcW w:w="3084" w:type="dxa"/>
            <w:vAlign w:val="center"/>
          </w:tcPr>
          <w:p w:rsidR="00604D52" w:rsidRDefault="00604D52" w:rsidP="001D4D24">
            <w:pPr>
              <w:jc w:val="center"/>
            </w:pPr>
            <w:r>
              <w:t>1 100 000</w:t>
            </w:r>
          </w:p>
        </w:tc>
      </w:tr>
      <w:tr w:rsidR="00604D52" w:rsidTr="001D4D24">
        <w:tc>
          <w:tcPr>
            <w:tcW w:w="4077" w:type="dxa"/>
          </w:tcPr>
          <w:p w:rsidR="00604D52" w:rsidRDefault="001D4D24" w:rsidP="006C6A25">
            <w:r>
              <w:t>Тенериф</w:t>
            </w:r>
            <w:r w:rsidR="00604D52">
              <w:t xml:space="preserve"> (Канарские острова) </w:t>
            </w:r>
          </w:p>
        </w:tc>
        <w:tc>
          <w:tcPr>
            <w:tcW w:w="2303" w:type="dxa"/>
          </w:tcPr>
          <w:p w:rsidR="00604D52" w:rsidRDefault="001E29A1" w:rsidP="006C6A25">
            <w:hyperlink r:id="rId15" w:tgtFrame="_blank" w:history="1">
              <w:proofErr w:type="spellStart"/>
              <w:r w:rsidR="00604D52" w:rsidRPr="00604D52">
                <w:t>Плая</w:t>
              </w:r>
              <w:proofErr w:type="spellEnd"/>
              <w:r w:rsidR="00604D52" w:rsidRPr="00604D52">
                <w:t>-де-лас-</w:t>
              </w:r>
              <w:proofErr w:type="spellStart"/>
              <w:r w:rsidR="00604D52" w:rsidRPr="00604D52">
                <w:t>Америкас</w:t>
              </w:r>
              <w:proofErr w:type="spellEnd"/>
              <w:r w:rsidR="00604D52" w:rsidRPr="00604D52">
                <w:t xml:space="preserve"> </w:t>
              </w:r>
            </w:hyperlink>
          </w:p>
        </w:tc>
        <w:tc>
          <w:tcPr>
            <w:tcW w:w="3084" w:type="dxa"/>
            <w:vAlign w:val="center"/>
          </w:tcPr>
          <w:p w:rsidR="00604D52" w:rsidRDefault="00604D52" w:rsidP="001D4D24">
            <w:pPr>
              <w:jc w:val="center"/>
            </w:pPr>
            <w:r>
              <w:t>250 000</w:t>
            </w:r>
          </w:p>
          <w:p w:rsidR="00604D52" w:rsidRDefault="00604D52" w:rsidP="001D4D24">
            <w:pPr>
              <w:jc w:val="center"/>
            </w:pPr>
          </w:p>
        </w:tc>
      </w:tr>
    </w:tbl>
    <w:p w:rsidR="001D4D24" w:rsidRDefault="001D4D24" w:rsidP="006C6A25"/>
    <w:p w:rsidR="001D4D24" w:rsidRPr="001D4D24" w:rsidRDefault="001D4D24" w:rsidP="001D4D24"/>
    <w:sectPr w:rsidR="001D4D24" w:rsidRPr="001D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A1" w:rsidRDefault="001E29A1" w:rsidP="002E26DE">
      <w:pPr>
        <w:spacing w:after="0" w:line="240" w:lineRule="auto"/>
      </w:pPr>
      <w:r>
        <w:separator/>
      </w:r>
    </w:p>
  </w:endnote>
  <w:endnote w:type="continuationSeparator" w:id="0">
    <w:p w:rsidR="001E29A1" w:rsidRDefault="001E29A1" w:rsidP="002E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A1" w:rsidRDefault="001E29A1" w:rsidP="002E26DE">
      <w:pPr>
        <w:spacing w:after="0" w:line="240" w:lineRule="auto"/>
      </w:pPr>
      <w:r>
        <w:separator/>
      </w:r>
    </w:p>
  </w:footnote>
  <w:footnote w:type="continuationSeparator" w:id="0">
    <w:p w:rsidR="001E29A1" w:rsidRDefault="001E29A1" w:rsidP="002E2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966B8"/>
    <w:multiLevelType w:val="hybridMultilevel"/>
    <w:tmpl w:val="DD2C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46CCE"/>
    <w:multiLevelType w:val="hybridMultilevel"/>
    <w:tmpl w:val="F846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E284A"/>
    <w:multiLevelType w:val="hybridMultilevel"/>
    <w:tmpl w:val="ADA0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14EE1"/>
    <w:multiLevelType w:val="hybridMultilevel"/>
    <w:tmpl w:val="A5C2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C5"/>
    <w:rsid w:val="00017B5E"/>
    <w:rsid w:val="00054E26"/>
    <w:rsid w:val="00094568"/>
    <w:rsid w:val="001906CA"/>
    <w:rsid w:val="001B6C1F"/>
    <w:rsid w:val="001C44BF"/>
    <w:rsid w:val="001D4D24"/>
    <w:rsid w:val="001E29A1"/>
    <w:rsid w:val="00216502"/>
    <w:rsid w:val="002E26DE"/>
    <w:rsid w:val="003412F8"/>
    <w:rsid w:val="00386D4E"/>
    <w:rsid w:val="003913FE"/>
    <w:rsid w:val="00551D12"/>
    <w:rsid w:val="00573119"/>
    <w:rsid w:val="005B5E1F"/>
    <w:rsid w:val="006023C5"/>
    <w:rsid w:val="00604D52"/>
    <w:rsid w:val="00610001"/>
    <w:rsid w:val="00612616"/>
    <w:rsid w:val="00642B8B"/>
    <w:rsid w:val="006B29B1"/>
    <w:rsid w:val="006C6A25"/>
    <w:rsid w:val="008211A2"/>
    <w:rsid w:val="00846CC5"/>
    <w:rsid w:val="00871815"/>
    <w:rsid w:val="00896D18"/>
    <w:rsid w:val="008D1658"/>
    <w:rsid w:val="009A4162"/>
    <w:rsid w:val="009A684B"/>
    <w:rsid w:val="00A12F8E"/>
    <w:rsid w:val="00A22F25"/>
    <w:rsid w:val="00A850A9"/>
    <w:rsid w:val="00B80F96"/>
    <w:rsid w:val="00C159AB"/>
    <w:rsid w:val="00C25E54"/>
    <w:rsid w:val="00C402E2"/>
    <w:rsid w:val="00CC1759"/>
    <w:rsid w:val="00CF5623"/>
    <w:rsid w:val="00E378D1"/>
    <w:rsid w:val="00E46A8C"/>
    <w:rsid w:val="00F259D3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2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1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913FE"/>
  </w:style>
  <w:style w:type="paragraph" w:styleId="a5">
    <w:name w:val="List Paragraph"/>
    <w:basedOn w:val="a"/>
    <w:uiPriority w:val="34"/>
    <w:qFormat/>
    <w:rsid w:val="00CF56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6DE"/>
  </w:style>
  <w:style w:type="paragraph" w:styleId="a8">
    <w:name w:val="footer"/>
    <w:basedOn w:val="a"/>
    <w:link w:val="a9"/>
    <w:uiPriority w:val="99"/>
    <w:unhideWhenUsed/>
    <w:rsid w:val="002E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2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1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913FE"/>
  </w:style>
  <w:style w:type="paragraph" w:styleId="a5">
    <w:name w:val="List Paragraph"/>
    <w:basedOn w:val="a"/>
    <w:uiPriority w:val="34"/>
    <w:qFormat/>
    <w:rsid w:val="00CF56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6DE"/>
  </w:style>
  <w:style w:type="paragraph" w:styleId="a8">
    <w:name w:val="footer"/>
    <w:basedOn w:val="a"/>
    <w:link w:val="a9"/>
    <w:uiPriority w:val="99"/>
    <w:unhideWhenUsed/>
    <w:rsid w:val="002E2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6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09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0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839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15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cad=rja&amp;uact=8&amp;ved=0ahUKEwjVkLKvu4_TAhVICMAKHYdKB10QFggcMAA&amp;url=https%3A%2F%2Ftonkosti.ru%2F%25D0%25A2%25D0%25BE%25D1%2580%25D1%2580%25D0%25B5%25D0%25B2%25D1%258C%25D0%25B5%25D1%2585%25D0%25B0&amp;usg=AFQjCNGVXOkfsR-kn2xgUrVwOUBXwqecLQ&amp;bvm=bv.151426398,d.d24" TargetMode="External"/><Relationship Id="rId13" Type="http://schemas.openxmlformats.org/officeDocument/2006/relationships/hyperlink" Target="https://www.google.ru/url?sa=t&amp;rct=j&amp;q=&amp;esrc=s&amp;source=web&amp;cd=6&amp;cad=rja&amp;uact=8&amp;ved=0ahUKEwi19dzrv4_TAhWnKMAKHcj_BHUQFggoMAU&amp;url=https%3A%2F%2Fru.wikipedia.org%2Fwiki%2F%25D0%2593%25D1%2580%25D0%25B0%25D0%25BD-%25D0%259A%25D0%25B0%25D0%25BD%25D0%25B0%25D1%2580%25D0%25B8%25D1%258F&amp;usg=AFQjCNFy4CVSg_ieXVMzzQthIjy4p5_M7A&amp;bvm=bv.151426398,d.d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ru/url?sa=t&amp;rct=j&amp;q=&amp;esrc=s&amp;source=web&amp;cd=1&amp;cad=rja&amp;uact=8&amp;ved=0ahUKEwj_pqu6vo_TAhXKCMAKHbrMA0cQFggZMAA&amp;url=https%3A%2F%2Fru.wikipedia.org%2Fwiki%2F%25D0%25A7%25D0%25B8%25D0%25BA%25D0%25BB%25D0%25B0%25D0%25BD%25D0%25B0-%25D0%25B4%25D0%25B5-%25D0%25BB%25D0%25B0-%25D0%25A4%25D1%2580%25D0%25BE%25D0%25BD%25D1%2582%25D0%25B5%25D1%2580%25D0%25B0&amp;usg=AFQjCNEzuaqMGoHg7joIKvmFLA7OmlRRWA&amp;bvm=bv.151426398,d.d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ru/url?sa=t&amp;rct=j&amp;q=&amp;esrc=s&amp;source=web&amp;cd=2&amp;cad=rja&amp;uact=8&amp;ved=0ahUKEwi-wr2Uvo_TAhVEFMAKHfmND9oQFgghMAE&amp;url=https%3A%2F%2Fwww.tripadvisor.ru%2FTourism-g562819-Playa_del_Ingles_Maspalomas_Gran_Canaria_Canary_Islands-Vacations.html&amp;usg=AFQjCNFNKeanfH9Z1Z7DC5ynzmbtlGe47g&amp;bvm=bv.151426398,d.d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url?sa=t&amp;rct=j&amp;q=&amp;esrc=s&amp;source=web&amp;cd=1&amp;cad=rja&amp;uact=8&amp;ved=0ahUKEwjP_dvawo_TAhVGOMAKHdIzCgwQFggZMAA&amp;url=https%3A%2F%2Fru.wikipedia.org%2Fwiki%2F%25D0%259F%25D0%25BB%25D0%25B0%25D1%258F-%25D0%25B4%25D0%25B5-%25D0%25BB%25D0%25B0%25D1%2581-%25D0%2590%25D0%25BC%25D0%25B5%25D1%2580%25D0%25B8%25D0%25BA%25D0%25B0%25D1%2581&amp;usg=AFQjCNE3D2Kw9w4NDuDPnsTsA6YVhkzMJA&amp;bvm=bv.151426398,d.ZGg" TargetMode="External"/><Relationship Id="rId10" Type="http://schemas.openxmlformats.org/officeDocument/2006/relationships/hyperlink" Target="https://www.google.ru/url?sa=t&amp;rct=j&amp;q=&amp;esrc=s&amp;source=web&amp;cd=1&amp;cad=rja&amp;uact=8&amp;ved=0ahUKEwjfxpXHvY_TAhVkCcAKHQV6DsAQFggZMAA&amp;url=https%3A%2F%2Fwww.tripadvisor.ru%2FTourism-g580322-Corralejo_La_Oliva_Fuerteventura_Canary_Islands-Vacations.html&amp;usg=AFQjCNHTzhD4d--PmYgY8ACcdLf1rSPqng&amp;bvm=bv.151426398,d.d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ahUKEwjqsNWEw4_TAhWHCMAKHfCuCUAQFggcMAA&amp;url=https%3A%2F%2Fru.wikipedia.org%2Fwiki%2F%25D0%259E%25D1%2580%25D0%25B8%25D1%2583%25D1%258D%25D0%25BB%25D0%25B0&amp;usg=AFQjCNG8tlDZ5zEP40R4SpCWyUXOvF-5hA&amp;bvm=bv.151426398,d.ZGg" TargetMode="External"/><Relationship Id="rId14" Type="http://schemas.openxmlformats.org/officeDocument/2006/relationships/hyperlink" Target="https://www.google.ru/url?sa=t&amp;rct=j&amp;q=&amp;esrc=s&amp;source=web&amp;cd=1&amp;cad=rja&amp;uact=8&amp;ved=0ahUKEwiCx4vgwY_TAhVcFMAKHSrcAJ8QFggkMAA&amp;url=https%3A%2F%2Fru.wikipedia.org%2Fwiki%2F%25D0%25A1%25D0%25B0%25D0%25BD%25D1%2582%25D0%25B0-%25D0%25AD%25D1%2583%25D0%25BB%25D0%25B0%25D0%25BB%25D0%25B8%25D1%258F-%25D0%25B4%25D0%25B5%25D0%25BB%25D1%258C-%25D0%25A0%25D0%25B8%25D0%25BE&amp;usg=AFQjCNFVC08CJZ6tR62Q0NF0J9zc-yIj0Q&amp;bvm=bv.151426398,d.d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Linik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Gurskaya, Natalya S.</dc:creator>
  <cp:keywords/>
  <dc:description/>
  <cp:lastModifiedBy>Gurskaya, Natalya S.</cp:lastModifiedBy>
  <cp:revision>11</cp:revision>
  <dcterms:created xsi:type="dcterms:W3CDTF">2017-04-06T08:27:00Z</dcterms:created>
  <dcterms:modified xsi:type="dcterms:W3CDTF">2017-04-06T11:32:00Z</dcterms:modified>
</cp:coreProperties>
</file>