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C" w:rsidRPr="0098622C" w:rsidRDefault="0098622C" w:rsidP="0098622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</w:pPr>
      <w:r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>Original/</w:t>
      </w:r>
      <w:proofErr w:type="spellStart"/>
      <w:r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>оригинал</w:t>
      </w:r>
      <w:proofErr w:type="spellEnd"/>
      <w:r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 xml:space="preserve"> </w:t>
      </w:r>
      <w:hyperlink r:id="rId4" w:history="1">
        <w:r w:rsidRPr="00BA6E94">
          <w:rPr>
            <w:rStyle w:val="a4"/>
            <w:rFonts w:ascii="Tahoma" w:hAnsi="Tahoma" w:cs="Tahoma"/>
            <w:iCs/>
            <w:bdr w:val="none" w:sz="0" w:space="0" w:color="auto" w:frame="1"/>
            <w:lang w:val="en-US"/>
          </w:rPr>
          <w:t>https://www.theguardian.com/books/2017/mar/04/what-writers-really-do-when-they-write</w:t>
        </w:r>
      </w:hyperlink>
    </w:p>
    <w:p w:rsidR="0098622C" w:rsidRPr="00A861E1" w:rsidRDefault="0098622C" w:rsidP="0098622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</w:pPr>
    </w:p>
    <w:p w:rsidR="0098622C" w:rsidRPr="0098622C" w:rsidRDefault="0098622C" w:rsidP="0098622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</w:pPr>
      <w:r w:rsidRPr="0098622C"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>Translation/</w:t>
      </w:r>
      <w:r>
        <w:rPr>
          <w:rFonts w:ascii="Tahoma" w:hAnsi="Tahoma" w:cs="Tahoma"/>
          <w:iCs/>
          <w:color w:val="222222"/>
          <w:bdr w:val="none" w:sz="0" w:space="0" w:color="auto" w:frame="1"/>
        </w:rPr>
        <w:t>перевод</w:t>
      </w:r>
      <w:r w:rsidRPr="0098622C"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 xml:space="preserve"> </w:t>
      </w:r>
      <w:r w:rsidR="00A861E1" w:rsidRPr="00A861E1">
        <w:rPr>
          <w:rFonts w:ascii="Tahoma" w:hAnsi="Tahoma" w:cs="Tahoma"/>
          <w:iCs/>
          <w:color w:val="222222"/>
          <w:bdr w:val="none" w:sz="0" w:space="0" w:color="auto" w:frame="1"/>
          <w:lang w:val="en-US"/>
        </w:rPr>
        <w:t>https://www.livelib.ru/translations/post/29327-dzhordzh-senders-chto-proishodit-za-kulisami-pisatelskogo-stola</w:t>
      </w:r>
    </w:p>
    <w:p w:rsidR="0098622C" w:rsidRDefault="0098622C" w:rsidP="0098622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i/>
          <w:iCs/>
          <w:color w:val="222222"/>
          <w:bdr w:val="none" w:sz="0" w:space="0" w:color="auto" w:frame="1"/>
          <w:lang w:val="en-US"/>
        </w:rPr>
      </w:pPr>
    </w:p>
    <w:p w:rsidR="00BF2AB2" w:rsidRDefault="00A861E1">
      <w:pP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  <w:lang w:val="en-US"/>
        </w:rPr>
      </w:pPr>
      <w: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</w:rPr>
        <w:t>George</w:t>
      </w:r>
      <w:proofErr w:type="spellEnd"/>
      <w: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</w:rPr>
        <w:t>Saunders</w:t>
      </w:r>
      <w:proofErr w:type="spellEnd"/>
    </w:p>
    <w:p w:rsidR="00A861E1" w:rsidRDefault="00A861E1">
      <w:pPr>
        <w:rPr>
          <w:rFonts w:ascii="Tahoma" w:hAnsi="Tahoma" w:cs="Tahoma"/>
          <w:i/>
          <w:iCs/>
          <w:color w:val="222222"/>
          <w:bdr w:val="none" w:sz="0" w:space="0" w:color="auto" w:frame="1"/>
          <w:shd w:val="clear" w:color="auto" w:fill="FFFFFF"/>
          <w:lang w:val="en-US"/>
        </w:rPr>
      </w:pP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Много лет назад, во время визита в Вашингтон, кузина моей жены нас повела к склепу на холме и сказала, что в 1862, в то время как Авраам Линкольн был президентом, его возлюбленный сын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Вилли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умер и был временно похоронен в этом склепе, и что пострадавший Линкольн, согласно газетам дня, вошел в склеп «несколько раз», чтобы подержать тело мальчика.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голове сразу же всплыл образ – слияние Мемориала Линкольна 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Пьеты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Я нес на себе бремя этого образа около 20 лет, боясь даже попытки сделать что-то, что казалось необыкновенно глубоким, когда наконец, в 2012-ом, я заметил что я не становлюсь моложе и не хочу быть тем парнем, на надгробии которого прочтут «Испугался Страшного Художественного Приключения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оторого Он Отчаянно Вожделел». В итоге, я решил попробовать, в духе какого-нибудь исследования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слишком вовлекаясь в это. Мой роман, «Линкольн в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Бардо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», является результатом этой попытки, и теперь я нахожу себя в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привычной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писательской колее с той самой опрометчивой попыткой говорить об этом процессе, словно я его каким-то образом контролирую.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часто говорим об искусстве таким образом: у художника было что-то, что он «хотел выразить», а затем он просто взял и... выразил это. Мы впадаем в умышленное заблуждение, что акт творения подразумевает четкое намерение, которое мы с такой же четкостью осуществляем, тогда как в моем опыте процесс куда более неоднозначен и загадочен (да и, честно говоря, подобен занозе в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заднице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Парень (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) создает модель железнодорожного городка в своем подвале.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приобретает маленького бродягу, размещает его под пластиковым железнодорожным мостом возле липового костра и замечает, что он устроил своего бродягу в такое положение, где тот как будто вглядывается в город. Почему он туда смотрит? Он смотрит в этот маленький голубой викторианский дом?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замечает пластиковую женщину у окна, затем поворачивает ее так, что она смотрит наружу; смотрит на железнодорожный мост. Гм... К его удивлению,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только что придумал любовную историю. Эх, почему же они не могут быть вместе? Если бы только маленький Джек вернулся домой. К своей жене. К Линде.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Что же только что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сделал? Для начала, осматривая свою небольшую область, он заметил, куда глядел бродяга. Потом он решил изменить свою маленькую вселенную, повернув пластиковую женщину. Правда, это не совсем точно.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Стэн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решил ее повернуть. Будет точнее, если мы скажем, что ему пришло в голову это сделать, в доле секунды,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без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какой-либо языковой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аффирмации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разве что с едва слышимым внутренним «Да».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Ему просто так понравилось больше, по причинам, которые он не мог ясно выразить, до того как он успел даже вознамериться это сделать.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Художник работает вне сферы строгой логики. Знание, намерения и затем выполнение этого намерения не есть хорошее искусство. Художник знает это. Согласно Дональду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Бартельми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: «Писатель это тот человек, который, приступив к работе, не знает, что делать».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Джералд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Штерн говорит об этом так: «Если собираешься начать писать стихотворение о том, как две собаки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трахаются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и затем ты пишешь о том, как эти две собаки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трахаются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то ты написал стихотворение о том, как две собаки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трахаются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». Эйнштейн, пресловутый всезнайка, превзошел их обоих: «Невозможно решить проблему на том же уровне, на котором она возникла».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Как же в таком случае нужно двигаться?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Мой метод таков: я представляю измерительный прибор, прикрепленный ко лбу, с буквой «П» на одной стороне («Положительно») и «О» на другой («Отрицательно»).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Затем я стараюсь читать то, что я написал, не вовлекаясь в это, так как это бы прочел кто-то в первый раз («без надежды и без отчаяния»). Где же игла? Прими результат без нытья. Затем редактируй так, чтобы иголка перемещалась в зону «П». Применяй следующий одержимый и повторяющийся метод исходя из предпочтения: следи за иглой, прилаживай текст, следи за иглой, прилаживай текст (промыть, намылить, повторить) и так иногда вплоть до сотен черновиков. Подобно медленно поворачивающемуся круизному кораблю, рассказ начнет менять направление сквозь те тысячи дополнительных исправлений.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Художник в этом модусе подобен оптику, который все время спрашивает: «Так лучше? Или так?» Самое интересное, что результат этого трудоемкого и слегка навязчивого процесса в моем опыте – это история, которая лучше, чем я в «реальной жизни» – смешнее, добрее, мудрее, увлекательнее, без всякого </w:t>
      </w:r>
      <w:proofErr w:type="spellStart"/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говна</w:t>
      </w:r>
      <w:proofErr w:type="spellEnd"/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с более ясным чувством добродетели.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 какое же это удовольствие, не быть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болваном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бумаге.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Редактирование с помощью описанного метода является одной из форм повышения целостной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интеллигибильности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написанного. Это, в свою очередь, передает определенное чувство уважения к читателю. Пока текст исправляется, он становится более точным и конкретным. Он становится более разумным, менее гиперболическим, сентиментальным и неясным. Он теряет возможность создавать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какой-либо пропагандистский туман. Ложь из него выдавливается, небрежные утверждения всплывают наружу, голые и зардевшие; они выбегают из комнаты.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 как-либо относится к нашему текущему политическому моменту?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Ух...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Когда я пишу: «Боб был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засранцем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», тогда вдруг чувствую, что в этом немного недостает определенности, я исправляю это следующим образом: «Боб нетерпеливо огрызнулся на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баристу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». Затем, я задаюсь вопросом, выискивая еще большей конкретики, почему Боб мог сделать это, и исправляю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: «Боб нетерпеливо огрызнулся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молодого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баристу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который напомнил ему о своей мертвой жене», и добавляю «по которой он очень сильно скучал, особенно сейчас, во время Рождества» – я не совершил эту серию изменений, потому что хотел, чтобы рассказ напрашивался на сострадание. Я сделал их потому, что хотел, чтобы рассказ получился более убедительным.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 он в итоге действительно стал более сострадательным. Боб перешел от «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чистого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засранца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 к «скорбящему вдовцу, столь обремененному скорбью, что он поступил невежливо с молодым человеком, к которому он в обычных обстоятельствах был бы приветлив». Боб изменился. Сначала он был карикатурой, достойной презрения, но теперь он как я в неудачный день.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Как это было сделано? Через поиск конкретики.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 обратил свое внимание на Боба, и, под определенным давлением сделать свою прозу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неотстойной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текст приобрел точность, и в ходе дела я стал смотреть на него с большей нежностью и любовью, и ты, мой дорогой читатель, видя, что я стал более любящим, возможно, заметил, что и ты сам теперь чуточку больше на него смотришь с любовью, и вместе (мы вдвоем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помощью воображаемого ворчуна) мы вдруг вспомнили, что, оказывается, все еще возможно быть любящим.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Или мы могли бы просто придерживаться того, что Боб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засранец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и выложить это и ждать, пока лайки соберутся, а выступающие силы за Боба сплотятся и анонимные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антибариста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тролли внесут свой вклад, в то время как где-то там бедный и непонятый Боб горюет, и наш несчастный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бариста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подвергся оскорблению, не совсем понимая, за что, чувствует себя паршиво, постепенно больше убеждаясь в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том, что мир иррационально жесток.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8441A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6000" cy="3657600"/>
            <wp:effectExtent l="19050" t="0" r="0" b="0"/>
            <wp:docPr id="1" name="Рисунок 1" descr="Иллюстрация Яна Кебб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Яна Кебб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Иллюстрация Яна </w:t>
      </w:r>
      <w:proofErr w:type="spellStart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Кебби</w:t>
      </w:r>
      <w:proofErr w:type="spellEnd"/>
    </w:p>
    <w:p w:rsidR="00A861E1" w:rsidRPr="00A861E1" w:rsidRDefault="00A861E1" w:rsidP="00A8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Чем в основном занимается художник? Он исправляет то, что он уже сделал. Бывают моменты, когда мы сидим перед пустой страницей, но в основном мы работаем над тем, что уже сделано. Писатель редактирует, художник подкрашивает, режиссер монтирует, музыкант выравнивает. Я пишу: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«Джейн зашла в комнату и села на синий диван», читаю, вздрагиваю, зачеркиваю «зашла в комнату» и «синий» (почему она должна зайти в комнату?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Имеет ли значение то, что диван синий?), и предложение становится «Джейн села на диван».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Вдруг это оказывается лучше (даже немного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по-хемингуэевски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!), правда... Какой смысл в том, чтобы Джейн садилась на диван? Действительно ли нам нужно это? И вскоре мы просто пришли к «Джейн»,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 крайней мере не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отстойно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имеет определенную силу краткости.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 почему я сделал эти изменения? На каком основании?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том основании, что если это будет лучше для меня, здесь, сейчас, то это будет лучше и для вас, позже, там, когда вы это прочтете. Когда я потяну веревку здесь, ты наклонишься сюда.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Это вселяет надежду, потому что это подразумевает, что наше сознание имеет общую структуру, и что все, что есть во мне, может быть также и в тебе.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«Я» может быть русским графом 19-го века, «ты» – продавцом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Уоллмарта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2017-м, в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Бойсе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Айдахо, но когда ты начнешь плакать в конце моего (Толстого) рассказа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«Хозяин и работник», ты послужишь доказательством того, что у нас есть что-то общее, что-то, что неподвластно языковому барьеру, расстоянию и времени, которое нас разделяет, несмотря на то, что один из нас мертв.</w:t>
      </w:r>
      <w:proofErr w:type="gramEnd"/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Еще одна причина, по которой ты плачешь: ты только что понял, что Толстой подумал о тебе. Он верил, что ты сможешь понять его собственные понятия о жизни на Земле и что это тебя кое-как да тронет. Толстой был щедр по отношению к своему воображаемому читателю. Представился случай, и ты взошел и уловил это.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Мы часто думаем, что функция сопереживания в художественной литературе достигается через отношение писателя к своим персонажам, но оно также достигается через отношение писателя к своему читателю. Ты придумываешь возвышенное пространство (с возвышенным языком, формой; рафинированное во многих невыразимых красивостях – то, как две сцены соединяются; с определенной схемой, которая самостоятельно развивается; с идеальным местом, где глава разрывается) и затем приглашаешь туда читателя. Он не может поверить, что ты так сильно веришь в него, что ты настолько уверен в том, что он уловит тонкие оттенки пространства, которые разговаривают с ним. В итоге он польщен. И они действительно разговаривают с ним. Этот способ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пересмотра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конечном счете зиждется на том, чтобы представлять, что твой читатель такой же человечный, яркий, остроумный, опытный и благонамеренный, как ты, и чтобы он почувствовал связь, ты должен удерживать это состояние во время пересмотра, таким образом его представляя. И ты так же пересматриваешь своего читателя в своем воображении с каждым подходом. Ты все время говоришь себе: «Нет, он умнее, ему нужно больше. Не позорь ее этой ленивой прозой или этой простецкой идеей».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пока ты пересматриваешь своего читателя, ты также пересматриваешь и себя.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Я писал рассказы по этому методу последние 20 лет, всегда думая, что совершенно новый метод (больше планирования, больше открытых намерений, много больших и беспорядочных схем, сложная система нумерологии, лежащая в основе имен персонажей и т.д.) будет необходим для романа. Но нет. Мой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роман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сущности исходил из тех же принципов, что и мои рассказы: каким-то образом доберись до письменного стола, прочти то, что у тебя написано, следи за иголкой, корректируй соответствующим образом. Конечно, все это было сделано в более крупном формате, но был миг, когда я наконец-то понял, что если кто-то берется за что-то сильное в своей художественности в 55 лет, он наверняка будет пользоваться теми же отработанными годами навыками. Возможно, фишка в том, что нужно немножко себя расшатывать, дабы навык ощущался более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свежим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немного запутанным. Лидеру группы, привыкшему работать с тремя аккордеонистами, был предоставлен симфонический оркестр. Возможно, он придет к тому, что то, чему он учился все эти годы, идет дальше владения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инструментами. Оно также затрагивает мелодию и гармонию и должно быть так же применимо и к этой новой группе, и он, возможно, посмотрит на себя с другой стороны, и он ощутит прилив сил в этом новом русле.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 думаю, с годами я стал лучше ставить палатки, а потом появилась очень большая палатка: объем больше, ткани больше, метод тот же. Или, чтобы быть более точным (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отклоняясь от моего мотива «временного жилья»): это было так, будто я потратил свою жизнь на проектирование юрт, а затем получил заказ на строительство особняка. Сначала я подумал: «Не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уверен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что смогу это сделать». Но потом мне пришло в голову, что особняк может быть построен как ряд соединенных юрт, где каждая небольшая единица, построенная обычными правилами строительства, соединена для новых возможностей реализации прекрасного.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Любая работа в области искусства быстро обнаруживает себя в качестве связанной системы проблем. У книги есть своя индивидуальность, и это, как известно всем, кто обременен оным, есть весьма неоднозначное благословение. У этого парня полно энергии, но он никогда не сидит ровно. Эта девочка чувствительна, может, слишком чувствительна. Она плачет, когда ей подают не ту пасту, которую она любит. Почти что с первого абзаца писателю становится ясно, что сильные и слабые стороны работы неразрывно связаны между собой, и то, что, к несчастью, его великие идеи несут с собой тяжелый груз.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Например: мне нравится Линкольн, стоящий наедине с собой на кладбище. Но как сделать роман, который основан на одиноком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парне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кладбище ночью? Если мы не хотим писать монолог Линкольна в 300 страниц или же включить многоречивого и всезнающего могильщика в книгу (поверьте, я пытался), тогда нам понадобится присутствие чего-то другого на кладбище. Является ли это проблемой? Ну, похоже, это было так в 2012-м. Но как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нью-эйдж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гуру нас уверяют, проблема на самом деле является возможностью. В искусстве это действительно так. Читатель почувствует надвигающуюся проблему примерно в тот же момент, что и писатель, и то, что мы называем художественным удовлетворением, есть не что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иное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 ощущение читателем того, что только что прибыла правильная кавалерия в правильное время. Еще одна волна художественного удовлетворения наступает, когда он чувствует, что кавалерия не только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наступает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умело, но еще и крутая и интересная, то есть является возможностью для дополнительной игры и красоты и для расширения эстетических установок.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этом случае решение было довольно простым — в самом заявлении проблемы («кто еще может быть на кладбище поздно ночью?»).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 вспомнил когда-то оставленный роман, действия которого проходили на Нью-Йоркском кладбище, где были призраки. Я также вспомнил разговор с одним из моих бывших студентов, который сказал, что если я когда-либо напишу роман, он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должен быть построен на цепочке монологов, так же как в моем рассказе «Четыре институциональных монолога».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Итак: книга будет озвучена группой призраков, говорящих с самими с собой и застрявших на кладбище.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вдруг то, что изначально было проблемой, превратилось в возможность: кто-то, кто любит вдыхать жизнь в своих персонажей и размышлять о смерти, теперь может потратить следующие 4 года на то, чтобы попытаться сделать группу говорящих призраков очаровательными, жуткими, существенными, трогательными, и, в конце концов, человечными.</w:t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8441A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96000" cy="3657600"/>
            <wp:effectExtent l="19050" t="0" r="0" b="0"/>
            <wp:docPr id="2" name="Рисунок 2" descr="картинка AConnoisseu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AConnoisseu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«Но есть что-то замечательное в наблюдении того, как фигура оживает из камня, чувствуя присутствие чего-то иного внутри тебя, </w:t>
      </w:r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 xml:space="preserve">писателя, и так же вне тебя» — Джордж </w:t>
      </w:r>
      <w:proofErr w:type="spellStart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Сэндерс</w:t>
      </w:r>
      <w:proofErr w:type="spellEnd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. Фотограф Тим </w:t>
      </w:r>
      <w:proofErr w:type="spellStart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Нокс</w:t>
      </w:r>
      <w:proofErr w:type="spellEnd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861E1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Guardian</w:t>
      </w:r>
      <w:proofErr w:type="spellEnd"/>
    </w:p>
    <w:p w:rsidR="00A861E1" w:rsidRPr="00A861E1" w:rsidRDefault="00A861E1" w:rsidP="00A8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:rsidR="00A861E1" w:rsidRPr="00A861E1" w:rsidRDefault="00A861E1" w:rsidP="00A861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Художественная работа может быть воспринята как движение с тройным ритмом: жонглер собирает кегли, подбрасывает в воздухе, ловит. Тот интуитивный подход, о котором я говорил, наиболее существенен, по моему мнению, на первом этапе: собирание кеглей. В свою очередь, собирание кеглей на самом деле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колдование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кеглей. Каким-то образом получается так, что самые лучшие кегли это те, которые получились неумышленно, путем описанной мной системы радикального и итеративного предпочтения. Сосредоточение на звучании прозы, на каком-либо элементе внутренней логики повествования, или же на описании природы с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определенного угла наиболее выразительным способом (то есть, делая то, что дает нам удовольствие, и то, о чем у нас ярко-выраженное мнение) мы внезапно обнаруживаем, что мы только что сделали кеглю. Какую кеглю? Лучше не называть. Как только назовешь, так сразу уменьшится в силе. Часто эти кегли существуют просто в виде некоторой формы императива или в виде чего-то, что нам любопытно: угроза, обещание, образец, клятва, которая, мы чувствуем, скоро должна быть нарушена.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Скрудж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говорит, что было бы лучше, если бы крошечный Тим умер и уничтожил бы избыточное население; Ромео любит Джульетту; Акакий Акакиевич хочет новую шинель; Гэтсби очень хочет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Дейзи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(постоянно мелькающий серый цвет; все действие романа построено на парах).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Затем идут кегли. Читатель знает, что они где-то рядом, и ждет, когда они выйдут наружу и их можно будет поймать. Если же они не выйдут (Ромео перехотел встречаться с Джульеттой и решил идти в юридическую школу; климат в Санкт-Петербурге вдруг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становится тропическим и в шинели нет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необходимости; Гэтсби злится на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Дейзи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влюбляется в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Бэтти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; писатель забывает о своем сером лейтмотиве), читатель начнет плакать, и его иголка начнет уклоняться в сторону зоны «О», и он бросает книгу и уходит, чтобы зайти в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Фейсбук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или ограбить магазин.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Писатель, подбросив некоторые интересные кегли, знает, что они упадут, и в моем опыте самое великое удовольствие в писательстве происходит тогда, когда они падают неожиданно и говорят о чем-то куда больше и лучше, чем ты изначально мог себе представить. Одно из новых удовольствий, которые я испытал при написании моего первого романа, заключалось в том, что кеглей было больше, они оставались в воздухе дольше и приземлялись куда более неожиданно и замысловато, нежели я того ожидал, особенно в сравнении с рассказами.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Не проговариваясь, позвольте мне сказать следующее: я сделал кучу призраков. Они были циничными; они застряли в этом мире, называемым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Бардо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(тибетское понятие, что-то вроде переходного чистилища между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реинкарнациями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), потому что были несчастны или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неудовлетворены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жизни. Самая большая часть их кары состоит в том, что они чувствуют себя абсолютно несущественными, не способными влиять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живущих. В третьей части книги кегли стали падать. Некоторые решения, которые я сделал раньше, повлекли за собой определенные поступки. Правила вселенной создавали определенные условия принуждения, как и формальные и структурные условности, которые я установил. Медленно, без какого-либо намерения с моей стороны (я был всегда сосредоточен на иголке на лбу), персонажи начали действовать сами по себе, что в итоге привело к достаточно широкому образу, в котором те пытались обсудить то, что я называю вирусной теорией доброты. Все эти вымышленные существа заработали сообща, без моего решения (каждый просто делал то, что исходило из побуждений для улучшения текста). И казалось, что они работают вместе, чтобы спасти </w:t>
      </w:r>
      <w:proofErr w:type="spell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Уилли</w:t>
      </w:r>
      <w:proofErr w:type="spell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Линкольна, замысловатым </w:t>
      </w:r>
      <w:proofErr w:type="gramStart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образом</w:t>
      </w:r>
      <w:proofErr w:type="gramEnd"/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 будто подчиняясь каким-то... иным законам (это были они, не я).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Нечто вроде этого случалось и раньше в рассказах, но никогда в таких масштабах и никогда так сильно не ощущалось отсутствие моего намерения. Это был прекрасный, таинственный опыт, и я иногда все еще жажду его, но в то же время я понимаю, что для этого потребуются тысячи часов работы.</w:t>
      </w:r>
    </w:p>
    <w:p w:rsidR="00A861E1" w:rsidRPr="00A861E1" w:rsidRDefault="00A861E1" w:rsidP="00A861E1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861E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Почему мне это кажется многообещающим? То, как эти образы захватывающе сами себя завершили? Это может быть, и почти наверняка является особенностью мозга, побочным действием какого-либо жесткого, итеративного взаимодействия в системе мышления. Но есть что-то замечательное в наблюдении того, как фигура оживает из камня, чувствуя присутствие чего-то иного внутри тебя, писателя, и так же вне тебя – чего-то последовательного, своевольного и великодушного, с каким-то едва заметным планом, который, как мне кажется, таков: сделать так, чтобы ты достиг небывалых высот.</w:t>
      </w:r>
    </w:p>
    <w:p w:rsidR="00A861E1" w:rsidRPr="00A861E1" w:rsidRDefault="00A861E1"/>
    <w:sectPr w:rsidR="00A861E1" w:rsidRPr="00A861E1" w:rsidSect="00BF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2C"/>
    <w:rsid w:val="00000D7E"/>
    <w:rsid w:val="0002027C"/>
    <w:rsid w:val="000208E8"/>
    <w:rsid w:val="00021481"/>
    <w:rsid w:val="00025BBE"/>
    <w:rsid w:val="00030849"/>
    <w:rsid w:val="00032752"/>
    <w:rsid w:val="0004218E"/>
    <w:rsid w:val="00053EF1"/>
    <w:rsid w:val="00070827"/>
    <w:rsid w:val="00075D42"/>
    <w:rsid w:val="00086423"/>
    <w:rsid w:val="00086885"/>
    <w:rsid w:val="000961E6"/>
    <w:rsid w:val="000A5273"/>
    <w:rsid w:val="000B13DE"/>
    <w:rsid w:val="000C4203"/>
    <w:rsid w:val="000D4366"/>
    <w:rsid w:val="000F4C72"/>
    <w:rsid w:val="000F55A6"/>
    <w:rsid w:val="00103BD0"/>
    <w:rsid w:val="00107025"/>
    <w:rsid w:val="001336EA"/>
    <w:rsid w:val="00137FB8"/>
    <w:rsid w:val="00157950"/>
    <w:rsid w:val="00170072"/>
    <w:rsid w:val="00175507"/>
    <w:rsid w:val="00177BBA"/>
    <w:rsid w:val="001872C5"/>
    <w:rsid w:val="001A7278"/>
    <w:rsid w:val="001C4BD2"/>
    <w:rsid w:val="001E165B"/>
    <w:rsid w:val="001F29AF"/>
    <w:rsid w:val="001F4FD6"/>
    <w:rsid w:val="0020625B"/>
    <w:rsid w:val="00233B04"/>
    <w:rsid w:val="00234884"/>
    <w:rsid w:val="002357A2"/>
    <w:rsid w:val="0024153A"/>
    <w:rsid w:val="00242078"/>
    <w:rsid w:val="00251F1B"/>
    <w:rsid w:val="002640E9"/>
    <w:rsid w:val="002735DF"/>
    <w:rsid w:val="00275704"/>
    <w:rsid w:val="002867A8"/>
    <w:rsid w:val="00291178"/>
    <w:rsid w:val="00294DCD"/>
    <w:rsid w:val="002A4F4D"/>
    <w:rsid w:val="002A700D"/>
    <w:rsid w:val="002B30FF"/>
    <w:rsid w:val="002C0E08"/>
    <w:rsid w:val="002E1813"/>
    <w:rsid w:val="002F439A"/>
    <w:rsid w:val="002F5190"/>
    <w:rsid w:val="0031482A"/>
    <w:rsid w:val="00314924"/>
    <w:rsid w:val="00326596"/>
    <w:rsid w:val="00326CB3"/>
    <w:rsid w:val="00326F53"/>
    <w:rsid w:val="0034046B"/>
    <w:rsid w:val="00345395"/>
    <w:rsid w:val="00354743"/>
    <w:rsid w:val="00357957"/>
    <w:rsid w:val="00365461"/>
    <w:rsid w:val="0037166C"/>
    <w:rsid w:val="00376509"/>
    <w:rsid w:val="003858DC"/>
    <w:rsid w:val="0039269D"/>
    <w:rsid w:val="003B7171"/>
    <w:rsid w:val="003C1B30"/>
    <w:rsid w:val="003C1C82"/>
    <w:rsid w:val="003C3753"/>
    <w:rsid w:val="003D388C"/>
    <w:rsid w:val="003E0070"/>
    <w:rsid w:val="003F6931"/>
    <w:rsid w:val="003F7517"/>
    <w:rsid w:val="004050F2"/>
    <w:rsid w:val="004108C4"/>
    <w:rsid w:val="00424154"/>
    <w:rsid w:val="004346A2"/>
    <w:rsid w:val="00440D08"/>
    <w:rsid w:val="00450931"/>
    <w:rsid w:val="004550FB"/>
    <w:rsid w:val="004658DF"/>
    <w:rsid w:val="0046796B"/>
    <w:rsid w:val="004920C5"/>
    <w:rsid w:val="00496358"/>
    <w:rsid w:val="004A2D6E"/>
    <w:rsid w:val="004A3F51"/>
    <w:rsid w:val="004B676E"/>
    <w:rsid w:val="004D170A"/>
    <w:rsid w:val="004E18EF"/>
    <w:rsid w:val="004E230C"/>
    <w:rsid w:val="005264C2"/>
    <w:rsid w:val="00526C15"/>
    <w:rsid w:val="00537AAF"/>
    <w:rsid w:val="00543158"/>
    <w:rsid w:val="00544370"/>
    <w:rsid w:val="005477CB"/>
    <w:rsid w:val="00550B9F"/>
    <w:rsid w:val="005602B5"/>
    <w:rsid w:val="0056425E"/>
    <w:rsid w:val="00573628"/>
    <w:rsid w:val="00573D99"/>
    <w:rsid w:val="00574AC3"/>
    <w:rsid w:val="00580876"/>
    <w:rsid w:val="0058131A"/>
    <w:rsid w:val="00585EFB"/>
    <w:rsid w:val="00590D4B"/>
    <w:rsid w:val="005A5D6F"/>
    <w:rsid w:val="005B31F8"/>
    <w:rsid w:val="005B5FFF"/>
    <w:rsid w:val="005C5AD6"/>
    <w:rsid w:val="005C7B93"/>
    <w:rsid w:val="005E4A6C"/>
    <w:rsid w:val="005F03E6"/>
    <w:rsid w:val="005F0A65"/>
    <w:rsid w:val="006157C6"/>
    <w:rsid w:val="00632CD7"/>
    <w:rsid w:val="0065444E"/>
    <w:rsid w:val="00655897"/>
    <w:rsid w:val="00656DCD"/>
    <w:rsid w:val="00676658"/>
    <w:rsid w:val="006C1202"/>
    <w:rsid w:val="006D5B1C"/>
    <w:rsid w:val="0072235C"/>
    <w:rsid w:val="007330B0"/>
    <w:rsid w:val="00735E31"/>
    <w:rsid w:val="0074152F"/>
    <w:rsid w:val="00744EEE"/>
    <w:rsid w:val="00753B78"/>
    <w:rsid w:val="007659D3"/>
    <w:rsid w:val="0077295E"/>
    <w:rsid w:val="007851D9"/>
    <w:rsid w:val="007B4B87"/>
    <w:rsid w:val="007C1EE2"/>
    <w:rsid w:val="007D11AD"/>
    <w:rsid w:val="007F2883"/>
    <w:rsid w:val="0081557D"/>
    <w:rsid w:val="00820EBA"/>
    <w:rsid w:val="008234B6"/>
    <w:rsid w:val="00830D96"/>
    <w:rsid w:val="00831825"/>
    <w:rsid w:val="00831FE1"/>
    <w:rsid w:val="00833064"/>
    <w:rsid w:val="00842373"/>
    <w:rsid w:val="008517B4"/>
    <w:rsid w:val="00866D31"/>
    <w:rsid w:val="00882387"/>
    <w:rsid w:val="00891247"/>
    <w:rsid w:val="00893D92"/>
    <w:rsid w:val="008A213D"/>
    <w:rsid w:val="008B16C6"/>
    <w:rsid w:val="008C0654"/>
    <w:rsid w:val="008C1195"/>
    <w:rsid w:val="008D21B6"/>
    <w:rsid w:val="008E0A1A"/>
    <w:rsid w:val="008E733C"/>
    <w:rsid w:val="008E79B9"/>
    <w:rsid w:val="008F545A"/>
    <w:rsid w:val="00932BCA"/>
    <w:rsid w:val="00934B77"/>
    <w:rsid w:val="00941BC4"/>
    <w:rsid w:val="00942879"/>
    <w:rsid w:val="009609A3"/>
    <w:rsid w:val="00964AD4"/>
    <w:rsid w:val="00973AAA"/>
    <w:rsid w:val="009805EC"/>
    <w:rsid w:val="0098622C"/>
    <w:rsid w:val="009958ED"/>
    <w:rsid w:val="00995D03"/>
    <w:rsid w:val="009B72A9"/>
    <w:rsid w:val="009C7766"/>
    <w:rsid w:val="009D5875"/>
    <w:rsid w:val="009E653D"/>
    <w:rsid w:val="009F01EB"/>
    <w:rsid w:val="009F1712"/>
    <w:rsid w:val="009F7142"/>
    <w:rsid w:val="009F75BD"/>
    <w:rsid w:val="00A0548C"/>
    <w:rsid w:val="00A24FA6"/>
    <w:rsid w:val="00A33441"/>
    <w:rsid w:val="00A36881"/>
    <w:rsid w:val="00A42324"/>
    <w:rsid w:val="00A44A58"/>
    <w:rsid w:val="00A646BD"/>
    <w:rsid w:val="00A6791E"/>
    <w:rsid w:val="00A73844"/>
    <w:rsid w:val="00A7415B"/>
    <w:rsid w:val="00A74AFD"/>
    <w:rsid w:val="00A80753"/>
    <w:rsid w:val="00A84A26"/>
    <w:rsid w:val="00A861E1"/>
    <w:rsid w:val="00A86BC6"/>
    <w:rsid w:val="00A921B9"/>
    <w:rsid w:val="00A92B19"/>
    <w:rsid w:val="00A947C0"/>
    <w:rsid w:val="00AA0B2F"/>
    <w:rsid w:val="00AB3662"/>
    <w:rsid w:val="00AD0E7D"/>
    <w:rsid w:val="00AE59E2"/>
    <w:rsid w:val="00AF318E"/>
    <w:rsid w:val="00B039BB"/>
    <w:rsid w:val="00B138D2"/>
    <w:rsid w:val="00B22904"/>
    <w:rsid w:val="00B25A30"/>
    <w:rsid w:val="00B25A61"/>
    <w:rsid w:val="00B27F04"/>
    <w:rsid w:val="00B3637D"/>
    <w:rsid w:val="00B36F49"/>
    <w:rsid w:val="00B54A0B"/>
    <w:rsid w:val="00B824F2"/>
    <w:rsid w:val="00B95F8A"/>
    <w:rsid w:val="00B97A35"/>
    <w:rsid w:val="00BA26D5"/>
    <w:rsid w:val="00BB194D"/>
    <w:rsid w:val="00BB3CE6"/>
    <w:rsid w:val="00BD14B6"/>
    <w:rsid w:val="00BF2AB2"/>
    <w:rsid w:val="00C04EE5"/>
    <w:rsid w:val="00C06E3E"/>
    <w:rsid w:val="00C1310E"/>
    <w:rsid w:val="00C165B3"/>
    <w:rsid w:val="00C2223D"/>
    <w:rsid w:val="00C30B73"/>
    <w:rsid w:val="00C33065"/>
    <w:rsid w:val="00C4199E"/>
    <w:rsid w:val="00C44778"/>
    <w:rsid w:val="00C44D48"/>
    <w:rsid w:val="00C57232"/>
    <w:rsid w:val="00C730F1"/>
    <w:rsid w:val="00C75B13"/>
    <w:rsid w:val="00C92308"/>
    <w:rsid w:val="00C97F15"/>
    <w:rsid w:val="00CD2A7F"/>
    <w:rsid w:val="00CE6733"/>
    <w:rsid w:val="00D10110"/>
    <w:rsid w:val="00D34FE2"/>
    <w:rsid w:val="00D4097B"/>
    <w:rsid w:val="00D43745"/>
    <w:rsid w:val="00D51CC1"/>
    <w:rsid w:val="00D556A6"/>
    <w:rsid w:val="00D761C4"/>
    <w:rsid w:val="00D76D0D"/>
    <w:rsid w:val="00D81832"/>
    <w:rsid w:val="00D82BDC"/>
    <w:rsid w:val="00D8433B"/>
    <w:rsid w:val="00D91043"/>
    <w:rsid w:val="00D977C5"/>
    <w:rsid w:val="00DA25F6"/>
    <w:rsid w:val="00DA29DD"/>
    <w:rsid w:val="00DB3027"/>
    <w:rsid w:val="00DB5838"/>
    <w:rsid w:val="00DC316A"/>
    <w:rsid w:val="00DD4326"/>
    <w:rsid w:val="00DF0F1B"/>
    <w:rsid w:val="00E0022E"/>
    <w:rsid w:val="00E00E2B"/>
    <w:rsid w:val="00E07850"/>
    <w:rsid w:val="00E349F8"/>
    <w:rsid w:val="00E64130"/>
    <w:rsid w:val="00E64290"/>
    <w:rsid w:val="00E70101"/>
    <w:rsid w:val="00E93869"/>
    <w:rsid w:val="00E94F3B"/>
    <w:rsid w:val="00EA1D8A"/>
    <w:rsid w:val="00EB0A39"/>
    <w:rsid w:val="00EB1F33"/>
    <w:rsid w:val="00EB4C99"/>
    <w:rsid w:val="00EB7C48"/>
    <w:rsid w:val="00ED0374"/>
    <w:rsid w:val="00ED305F"/>
    <w:rsid w:val="00ED3FD3"/>
    <w:rsid w:val="00EF3B50"/>
    <w:rsid w:val="00F017FC"/>
    <w:rsid w:val="00F03B9F"/>
    <w:rsid w:val="00F23688"/>
    <w:rsid w:val="00F31153"/>
    <w:rsid w:val="00F3453D"/>
    <w:rsid w:val="00F37840"/>
    <w:rsid w:val="00F42885"/>
    <w:rsid w:val="00F430AA"/>
    <w:rsid w:val="00F701D5"/>
    <w:rsid w:val="00F75A28"/>
    <w:rsid w:val="00F856E3"/>
    <w:rsid w:val="00F85AAF"/>
    <w:rsid w:val="00F87AC7"/>
    <w:rsid w:val="00FA1C73"/>
    <w:rsid w:val="00FA370E"/>
    <w:rsid w:val="00FA66BB"/>
    <w:rsid w:val="00FC4044"/>
    <w:rsid w:val="00FD1106"/>
    <w:rsid w:val="00FD3E71"/>
    <w:rsid w:val="00FD6390"/>
    <w:rsid w:val="00FD7BC1"/>
    <w:rsid w:val="00FE6E33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lauthor">
    <w:name w:val="ll_author"/>
    <w:basedOn w:val="a0"/>
    <w:rsid w:val="0098622C"/>
  </w:style>
  <w:style w:type="character" w:styleId="a4">
    <w:name w:val="Hyperlink"/>
    <w:basedOn w:val="a0"/>
    <w:uiPriority w:val="99"/>
    <w:unhideWhenUsed/>
    <w:rsid w:val="00986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.livelib.ru/reader/AConnoisseur/o/pobj9iid/o-o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.livelib.ru/reader/AConnoisseur/o/zcv73ztw/Illyustratsiya_Yana_Kebbi-o.jp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books/2017/mar/04/what-writers-really-do-when-they-wri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2900</Words>
  <Characters>16535</Characters>
  <Application>Microsoft Office Word</Application>
  <DocSecurity>0</DocSecurity>
  <Lines>137</Lines>
  <Paragraphs>38</Paragraphs>
  <ScaleCrop>false</ScaleCrop>
  <Company>Microsoft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2017-09-06T12:29:00Z</dcterms:created>
  <dcterms:modified xsi:type="dcterms:W3CDTF">2017-09-26T20:19:00Z</dcterms:modified>
</cp:coreProperties>
</file>