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D4" w:rsidRPr="00CB4156" w:rsidRDefault="00001ED4" w:rsidP="00CB4156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B4156">
        <w:rPr>
          <w:rFonts w:cs="Times New Roman"/>
          <w:b/>
          <w:sz w:val="28"/>
          <w:szCs w:val="28"/>
        </w:rPr>
        <w:t>Ситуативная часть</w:t>
      </w:r>
    </w:p>
    <w:p w:rsidR="00001ED4" w:rsidRPr="00CB4156" w:rsidRDefault="00001ED4" w:rsidP="00CB4156">
      <w:pPr>
        <w:pStyle w:val="Standard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B4156">
        <w:rPr>
          <w:rFonts w:cs="Times New Roman"/>
          <w:i/>
          <w:sz w:val="28"/>
          <w:szCs w:val="28"/>
        </w:rPr>
        <w:t>Коммерческий банк увеличил размер вложений в ценные бум</w:t>
      </w:r>
      <w:r w:rsidR="009D335D">
        <w:rPr>
          <w:rFonts w:cs="Times New Roman"/>
          <w:i/>
          <w:sz w:val="28"/>
          <w:szCs w:val="28"/>
        </w:rPr>
        <w:t>аги. Бухгалтер банка провел эту</w:t>
      </w:r>
      <w:r w:rsidRPr="00CB4156">
        <w:rPr>
          <w:rFonts w:cs="Times New Roman"/>
          <w:i/>
          <w:sz w:val="28"/>
          <w:szCs w:val="28"/>
        </w:rPr>
        <w:t xml:space="preserve"> операцию как увеличение собственных средств банка по категории «средства-брутто». Оцените правильность действий бухгалтера.</w:t>
      </w:r>
    </w:p>
    <w:p w:rsidR="00CB4156" w:rsidRPr="00CB4156" w:rsidRDefault="00CB4156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250"/>
      <w:r w:rsidRPr="00CB4156">
        <w:rPr>
          <w:b/>
          <w:color w:val="000000"/>
          <w:sz w:val="28"/>
          <w:szCs w:val="28"/>
          <w:shd w:val="clear" w:color="auto" w:fill="FFFFFF"/>
        </w:rPr>
        <w:t>Решение:</w:t>
      </w:r>
    </w:p>
    <w:p w:rsidR="008F6D88" w:rsidRDefault="008F6D88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Активные операции — это операции, посредством которых банки размещают имеющиеся в их распоряжении ресурсы для получения прибыли и поддержания ликвидности.</w:t>
      </w:r>
      <w:r w:rsidR="00431B6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К активным операциям, кроме всего прочего, относят операции по приобретению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ценных бумаг</w:t>
      </w:r>
      <w:r w:rsidR="00431B6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</w:p>
    <w:p w:rsidR="00AF778F" w:rsidRPr="00CB4156" w:rsidRDefault="00AF778F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4156">
        <w:rPr>
          <w:color w:val="000000"/>
          <w:sz w:val="28"/>
          <w:szCs w:val="28"/>
          <w:shd w:val="clear" w:color="auto" w:fill="FFFFFF"/>
        </w:rPr>
        <w:t>В зависимо</w:t>
      </w:r>
      <w:r w:rsidR="00635AFA">
        <w:rPr>
          <w:color w:val="000000"/>
          <w:sz w:val="28"/>
          <w:szCs w:val="28"/>
          <w:shd w:val="clear" w:color="auto" w:fill="FFFFFF"/>
        </w:rPr>
        <w:t>сти от целей приобретения</w:t>
      </w:r>
      <w:r w:rsidRPr="00CB4156">
        <w:rPr>
          <w:color w:val="000000"/>
          <w:sz w:val="28"/>
          <w:szCs w:val="28"/>
          <w:shd w:val="clear" w:color="auto" w:fill="FFFFFF"/>
        </w:rPr>
        <w:t xml:space="preserve"> вложения</w:t>
      </w:r>
      <w:r w:rsidR="00635AFA">
        <w:rPr>
          <w:color w:val="000000"/>
          <w:sz w:val="28"/>
          <w:szCs w:val="28"/>
          <w:shd w:val="clear" w:color="auto" w:fill="FFFFFF"/>
        </w:rPr>
        <w:t xml:space="preserve"> в ценные бумаги</w:t>
      </w:r>
      <w:r w:rsidRPr="00CB4156">
        <w:rPr>
          <w:color w:val="000000"/>
          <w:sz w:val="28"/>
          <w:szCs w:val="28"/>
          <w:shd w:val="clear" w:color="auto" w:fill="FFFFFF"/>
        </w:rPr>
        <w:t xml:space="preserve"> можно разделить на три вида.</w:t>
      </w:r>
    </w:p>
    <w:p w:rsidR="00AF778F" w:rsidRPr="00CB4156" w:rsidRDefault="00AF778F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4156">
        <w:rPr>
          <w:color w:val="000000"/>
          <w:sz w:val="28"/>
          <w:szCs w:val="28"/>
          <w:shd w:val="clear" w:color="auto" w:fill="FFFFFF"/>
        </w:rPr>
        <w:t>1. Вложения в ценные бумаги, прио</w:t>
      </w:r>
      <w:r w:rsidR="00CB4156">
        <w:rPr>
          <w:color w:val="000000"/>
          <w:sz w:val="28"/>
          <w:szCs w:val="28"/>
          <w:shd w:val="clear" w:color="auto" w:fill="FFFFFF"/>
        </w:rPr>
        <w:t>бретенные по операции типа РЕПО.</w:t>
      </w:r>
    </w:p>
    <w:p w:rsidR="00AF778F" w:rsidRPr="00CB4156" w:rsidRDefault="00CB4156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AF778F" w:rsidRPr="00CB4156">
        <w:rPr>
          <w:color w:val="000000"/>
          <w:sz w:val="28"/>
          <w:szCs w:val="28"/>
          <w:shd w:val="clear" w:color="auto" w:fill="FFFFFF"/>
        </w:rPr>
        <w:t>Вложения в бумаги, приобретенные для перепродажи с ц</w:t>
      </w:r>
      <w:r>
        <w:rPr>
          <w:color w:val="000000"/>
          <w:sz w:val="28"/>
          <w:szCs w:val="28"/>
          <w:shd w:val="clear" w:color="auto" w:fill="FFFFFF"/>
        </w:rPr>
        <w:t>елью получения курсовой разницы.</w:t>
      </w:r>
    </w:p>
    <w:p w:rsidR="00AF778F" w:rsidRPr="00CB4156" w:rsidRDefault="00CB4156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Банковские инвестиции, т.</w:t>
      </w:r>
      <w:r w:rsidR="00AF778F" w:rsidRPr="00CB4156">
        <w:rPr>
          <w:color w:val="000000"/>
          <w:sz w:val="28"/>
          <w:szCs w:val="28"/>
          <w:shd w:val="clear" w:color="auto" w:fill="FFFFFF"/>
        </w:rPr>
        <w:t>е. покупка ценных бумаг с целью получения дохода в форме процентов и дивидендов</w:t>
      </w:r>
      <w:r w:rsidR="000D232E">
        <w:rPr>
          <w:color w:val="000000"/>
          <w:sz w:val="28"/>
          <w:szCs w:val="28"/>
          <w:shd w:val="clear" w:color="auto" w:fill="FFFFFF"/>
        </w:rPr>
        <w:t>,</w:t>
      </w:r>
      <w:r w:rsidR="00AF778F" w:rsidRPr="00CB4156">
        <w:rPr>
          <w:color w:val="000000"/>
          <w:sz w:val="28"/>
          <w:szCs w:val="28"/>
          <w:shd w:val="clear" w:color="auto" w:fill="FFFFFF"/>
        </w:rPr>
        <w:t xml:space="preserve"> и участия в управлении предприятием.</w:t>
      </w:r>
    </w:p>
    <w:p w:rsidR="00AF778F" w:rsidRPr="00CB4156" w:rsidRDefault="00AF778F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4156">
        <w:rPr>
          <w:color w:val="000000"/>
          <w:sz w:val="28"/>
          <w:szCs w:val="28"/>
          <w:shd w:val="clear" w:color="auto" w:fill="FFFFFF"/>
        </w:rPr>
        <w:t xml:space="preserve">В первом случае коммерческие банки приобретают, как правило, акции компаний на срок до востребования с последующим выкупом. Эта операция приносит банку прибыль в виде курсовой разницы, или маржи, так как цена покупки ценной бумаги всегда ниже цены продажи. </w:t>
      </w:r>
    </w:p>
    <w:p w:rsidR="00AF778F" w:rsidRPr="00CB4156" w:rsidRDefault="00AF778F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4156">
        <w:rPr>
          <w:color w:val="000000"/>
          <w:sz w:val="28"/>
          <w:szCs w:val="28"/>
          <w:shd w:val="clear" w:color="auto" w:fill="FFFFFF"/>
        </w:rPr>
        <w:t xml:space="preserve">Во втором случае коммерческие банки приобретают акции, облигации, государственные долговые обязательства, векселя других банков на определенный срок, надеясь на повышение их курсовой стоимости в течение этого времени. В последующем банк продает эти ценные бумаги и получает курсовую разницу, равную разнице цены продажи и цены покупки. Это наиболее распространенная операция коммерческих банков. </w:t>
      </w:r>
    </w:p>
    <w:p w:rsidR="00AF778F" w:rsidRPr="00CB4156" w:rsidRDefault="00C914DD" w:rsidP="00CB41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Банковские инвестиции -</w:t>
      </w:r>
      <w:r w:rsidR="00AF778F" w:rsidRPr="00CB4156">
        <w:rPr>
          <w:color w:val="000000"/>
          <w:sz w:val="28"/>
          <w:szCs w:val="28"/>
          <w:shd w:val="clear" w:color="auto" w:fill="FFFFFF"/>
        </w:rPr>
        <w:t xml:space="preserve"> это вложения в ценные бумаги, как правило, на длительный срок. В процессе этой деятельности банки выступают в качестве </w:t>
      </w:r>
      <w:r w:rsidR="00AF778F" w:rsidRPr="00CB4156">
        <w:rPr>
          <w:color w:val="000000"/>
          <w:sz w:val="28"/>
          <w:szCs w:val="28"/>
          <w:shd w:val="clear" w:color="auto" w:fill="FFFFFF"/>
        </w:rPr>
        <w:lastRenderedPageBreak/>
        <w:t>инвестора, вкладывая ресурсы в ценные бумаги или приобретая права по совместной хозяйств</w:t>
      </w:r>
      <w:r w:rsidR="00D532F1">
        <w:rPr>
          <w:color w:val="000000"/>
          <w:sz w:val="28"/>
          <w:szCs w:val="28"/>
          <w:shd w:val="clear" w:color="auto" w:fill="FFFFFF"/>
        </w:rPr>
        <w:t xml:space="preserve">енной </w:t>
      </w:r>
      <w:r w:rsidR="00AF778F" w:rsidRPr="00CB4156">
        <w:rPr>
          <w:color w:val="000000"/>
          <w:sz w:val="28"/>
          <w:szCs w:val="28"/>
          <w:shd w:val="clear" w:color="auto" w:fill="FFFFFF"/>
        </w:rPr>
        <w:t xml:space="preserve">деятельности. Банки осуществляют вложения в долгосрочные корпоративные облигации, обеспечивающие достаточно высокие проценты, так как процент по облигациям, как и по кредитам, зависит от срока: чем он выше, тем выше процент. </w:t>
      </w:r>
    </w:p>
    <w:bookmarkEnd w:id="0"/>
    <w:p w:rsidR="00C914DD" w:rsidRPr="00A92D32" w:rsidRDefault="00004E00" w:rsidP="00303D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2D32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FF1A68">
        <w:rPr>
          <w:color w:val="000000"/>
          <w:sz w:val="28"/>
          <w:szCs w:val="28"/>
          <w:shd w:val="clear" w:color="auto" w:fill="FFFFFF"/>
        </w:rPr>
        <w:t xml:space="preserve">во всех трех случаях увеличение </w:t>
      </w:r>
      <w:r w:rsidRPr="00A92D32">
        <w:rPr>
          <w:color w:val="000000"/>
          <w:sz w:val="28"/>
          <w:szCs w:val="28"/>
          <w:shd w:val="clear" w:color="auto" w:fill="FFFFFF"/>
        </w:rPr>
        <w:t>вложений в ценные бумаги приведет</w:t>
      </w:r>
      <w:r w:rsidR="00F82F20">
        <w:rPr>
          <w:color w:val="000000"/>
          <w:sz w:val="28"/>
          <w:szCs w:val="28"/>
          <w:shd w:val="clear" w:color="auto" w:fill="FFFFFF"/>
        </w:rPr>
        <w:t>, при прочих равных условиях,</w:t>
      </w:r>
      <w:r w:rsidR="00FC3D9D">
        <w:rPr>
          <w:color w:val="000000"/>
          <w:sz w:val="28"/>
          <w:szCs w:val="28"/>
          <w:shd w:val="clear" w:color="auto" w:fill="FFFFFF"/>
        </w:rPr>
        <w:t xml:space="preserve"> к росту доходов,</w:t>
      </w:r>
      <w:r w:rsidR="00A629F6">
        <w:rPr>
          <w:color w:val="000000"/>
          <w:sz w:val="28"/>
          <w:szCs w:val="28"/>
          <w:shd w:val="clear" w:color="auto" w:fill="FFFFFF"/>
        </w:rPr>
        <w:t xml:space="preserve"> а значит </w:t>
      </w:r>
      <w:r w:rsidR="00FC3D9D">
        <w:rPr>
          <w:color w:val="000000"/>
          <w:sz w:val="28"/>
          <w:szCs w:val="28"/>
          <w:shd w:val="clear" w:color="auto" w:fill="FFFFFF"/>
        </w:rPr>
        <w:t xml:space="preserve">и </w:t>
      </w:r>
      <w:r w:rsidR="00A629F6">
        <w:rPr>
          <w:color w:val="000000"/>
          <w:sz w:val="28"/>
          <w:szCs w:val="28"/>
          <w:shd w:val="clear" w:color="auto" w:fill="FFFFFF"/>
        </w:rPr>
        <w:t xml:space="preserve">к увеличению </w:t>
      </w:r>
      <w:r w:rsidR="00FC3D9D">
        <w:rPr>
          <w:color w:val="000000"/>
          <w:sz w:val="28"/>
          <w:szCs w:val="28"/>
          <w:shd w:val="clear" w:color="auto" w:fill="FFFFFF"/>
        </w:rPr>
        <w:t>собственных средств</w:t>
      </w:r>
      <w:r w:rsidR="00FC3D9D" w:rsidRPr="00FC3D9D">
        <w:rPr>
          <w:color w:val="000000"/>
          <w:sz w:val="28"/>
          <w:szCs w:val="28"/>
          <w:shd w:val="clear" w:color="auto" w:fill="FFFFFF"/>
        </w:rPr>
        <w:t xml:space="preserve"> </w:t>
      </w:r>
      <w:r w:rsidR="00FC3D9D">
        <w:rPr>
          <w:color w:val="000000"/>
          <w:sz w:val="28"/>
          <w:szCs w:val="28"/>
          <w:shd w:val="clear" w:color="auto" w:fill="FFFFFF"/>
        </w:rPr>
        <w:t>коммерческого банка</w:t>
      </w:r>
      <w:r w:rsidR="00FC3D9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03D9C" w:rsidRPr="00303D9C" w:rsidRDefault="00303D9C" w:rsidP="00303D9C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3D9C">
        <w:rPr>
          <w:color w:val="000000"/>
          <w:sz w:val="28"/>
          <w:szCs w:val="28"/>
          <w:shd w:val="clear" w:color="auto" w:fill="FFFFFF"/>
        </w:rPr>
        <w:t>Собственный капитал банка делится на:</w:t>
      </w:r>
    </w:p>
    <w:p w:rsidR="00303D9C" w:rsidRPr="00303D9C" w:rsidRDefault="00303D9C" w:rsidP="00303D9C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3D9C">
        <w:rPr>
          <w:color w:val="000000"/>
          <w:sz w:val="28"/>
          <w:szCs w:val="28"/>
          <w:shd w:val="clear" w:color="auto" w:fill="FFFFFF"/>
        </w:rPr>
        <w:t>· собственный капитал-брутто;</w:t>
      </w:r>
    </w:p>
    <w:p w:rsidR="00303D9C" w:rsidRPr="00303D9C" w:rsidRDefault="00303D9C" w:rsidP="00303D9C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· </w:t>
      </w:r>
      <w:r w:rsidRPr="00303D9C">
        <w:rPr>
          <w:color w:val="000000"/>
          <w:sz w:val="28"/>
          <w:szCs w:val="28"/>
          <w:shd w:val="clear" w:color="auto" w:fill="FFFFFF"/>
        </w:rPr>
        <w:t>собственный капитал-нетто (средства брутто минус сумма иммобилизации).</w:t>
      </w:r>
    </w:p>
    <w:p w:rsidR="00FF6F68" w:rsidRPr="003F49ED" w:rsidRDefault="00FC3D9D" w:rsidP="003F49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FF6F68" w:rsidRPr="003F49ED">
        <w:rPr>
          <w:color w:val="000000"/>
          <w:sz w:val="28"/>
          <w:szCs w:val="28"/>
          <w:shd w:val="clear" w:color="auto" w:fill="FFFFFF"/>
        </w:rPr>
        <w:t>редства брутто содержат:</w:t>
      </w:r>
    </w:p>
    <w:p w:rsidR="00FF6F68" w:rsidRPr="003F49ED" w:rsidRDefault="00FF6F68" w:rsidP="003F49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9ED">
        <w:rPr>
          <w:color w:val="000000"/>
          <w:sz w:val="28"/>
          <w:szCs w:val="28"/>
          <w:shd w:val="clear" w:color="auto" w:fill="FFFFFF"/>
        </w:rPr>
        <w:t>1.</w:t>
      </w:r>
      <w:r w:rsidR="00FC3D9D">
        <w:rPr>
          <w:color w:val="000000"/>
          <w:sz w:val="28"/>
          <w:szCs w:val="28"/>
          <w:shd w:val="clear" w:color="auto" w:fill="FFFFFF"/>
        </w:rPr>
        <w:t xml:space="preserve"> </w:t>
      </w:r>
      <w:r w:rsidRPr="003F49ED">
        <w:rPr>
          <w:color w:val="000000"/>
          <w:sz w:val="28"/>
          <w:szCs w:val="28"/>
          <w:shd w:val="clear" w:color="auto" w:fill="FFFFFF"/>
        </w:rPr>
        <w:t>Фонды банка: уставный, резервный, специальный, основных средств, амортизации, экономического стимулирования (развития банковского дела, социального развития, оплаты труда), страховые</w:t>
      </w:r>
      <w:r w:rsidR="00BB672B">
        <w:rPr>
          <w:color w:val="000000"/>
          <w:sz w:val="28"/>
          <w:szCs w:val="28"/>
          <w:shd w:val="clear" w:color="auto" w:fill="FFFFFF"/>
        </w:rPr>
        <w:t xml:space="preserve"> </w:t>
      </w:r>
      <w:r w:rsidRPr="003F49ED">
        <w:rPr>
          <w:color w:val="000000"/>
          <w:sz w:val="28"/>
          <w:szCs w:val="28"/>
          <w:shd w:val="clear" w:color="auto" w:fill="FFFFFF"/>
        </w:rPr>
        <w:t>резервы коммерческого риска.</w:t>
      </w:r>
    </w:p>
    <w:p w:rsidR="00FF6F68" w:rsidRPr="003F49ED" w:rsidRDefault="00FF6F68" w:rsidP="003F49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9ED">
        <w:rPr>
          <w:color w:val="000000"/>
          <w:sz w:val="28"/>
          <w:szCs w:val="28"/>
          <w:shd w:val="clear" w:color="auto" w:fill="FFFFFF"/>
        </w:rPr>
        <w:t>2. Собственные средства, предназначенные для финансирования капитальных вложений.</w:t>
      </w:r>
    </w:p>
    <w:p w:rsidR="00FF6F68" w:rsidRPr="003F49ED" w:rsidRDefault="00FF6F68" w:rsidP="003F49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9ED">
        <w:rPr>
          <w:color w:val="000000"/>
          <w:sz w:val="28"/>
          <w:szCs w:val="28"/>
          <w:shd w:val="clear" w:color="auto" w:fill="FFFFFF"/>
        </w:rPr>
        <w:t>3. Прибыль.</w:t>
      </w:r>
    </w:p>
    <w:p w:rsidR="00FF6F68" w:rsidRPr="003F49ED" w:rsidRDefault="00FF6F68" w:rsidP="003F49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9ED">
        <w:rPr>
          <w:color w:val="000000"/>
          <w:sz w:val="28"/>
          <w:szCs w:val="28"/>
          <w:shd w:val="clear" w:color="auto" w:fill="FFFFFF"/>
        </w:rPr>
        <w:t>4. Собственные средства в расчетах.</w:t>
      </w:r>
    </w:p>
    <w:p w:rsidR="00FF6F68" w:rsidRDefault="00FF6F68" w:rsidP="003F49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9ED">
        <w:rPr>
          <w:color w:val="000000"/>
          <w:sz w:val="28"/>
          <w:szCs w:val="28"/>
          <w:shd w:val="clear" w:color="auto" w:fill="FFFFFF"/>
        </w:rPr>
        <w:t>5. Сумму иммобилизации: капитализированные собственные средства, отвлеченные средства за счет прибыли, собственные средства, перечисленные другим организациям для участия в их деятельности, собственные средства, вложенные в ценные бумаги, собственные средства, перечисленные фактор — банком поставщикам по факторинговым операциям, собственные средства, отвлеченные в расчеты, дебиторская задолженность.</w:t>
      </w:r>
    </w:p>
    <w:p w:rsidR="00E509ED" w:rsidRDefault="00BB672B" w:rsidP="00E509ED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итоге, к ср</w:t>
      </w:r>
      <w:r w:rsidR="00FC3D9D">
        <w:rPr>
          <w:color w:val="000000"/>
          <w:sz w:val="28"/>
          <w:szCs w:val="28"/>
          <w:shd w:val="clear" w:color="auto" w:fill="FFFFFF"/>
        </w:rPr>
        <w:t>едствам-брутто, как было упомянуто выше</w:t>
      </w:r>
      <w:r w:rsidR="00F82F20">
        <w:rPr>
          <w:color w:val="000000"/>
          <w:sz w:val="28"/>
          <w:szCs w:val="28"/>
          <w:shd w:val="clear" w:color="auto" w:fill="FFFFFF"/>
        </w:rPr>
        <w:t>, относится также и сумма иммобилизации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F82F20">
        <w:rPr>
          <w:color w:val="000000"/>
          <w:sz w:val="28"/>
          <w:szCs w:val="28"/>
          <w:shd w:val="clear" w:color="auto" w:fill="FFFFFF"/>
        </w:rPr>
        <w:t xml:space="preserve"> </w:t>
      </w:r>
      <w:r w:rsidR="009A0E9A">
        <w:rPr>
          <w:color w:val="000000"/>
          <w:sz w:val="28"/>
          <w:szCs w:val="28"/>
          <w:shd w:val="clear" w:color="auto" w:fill="FFFFFF"/>
        </w:rPr>
        <w:t>которая состоит в том числе</w:t>
      </w:r>
      <w:r w:rsidR="00FC3D9D">
        <w:rPr>
          <w:color w:val="000000"/>
          <w:sz w:val="28"/>
          <w:szCs w:val="28"/>
          <w:shd w:val="clear" w:color="auto" w:fill="FFFFFF"/>
        </w:rPr>
        <w:t xml:space="preserve"> </w:t>
      </w:r>
      <w:r w:rsidR="00303D9C">
        <w:rPr>
          <w:color w:val="000000"/>
          <w:sz w:val="28"/>
          <w:szCs w:val="28"/>
          <w:shd w:val="clear" w:color="auto" w:fill="FFFFFF"/>
        </w:rPr>
        <w:t>из собственных средств, вложенных</w:t>
      </w:r>
      <w:r w:rsidR="00F82F20" w:rsidRPr="003F49ED">
        <w:rPr>
          <w:color w:val="000000"/>
          <w:sz w:val="28"/>
          <w:szCs w:val="28"/>
          <w:shd w:val="clear" w:color="auto" w:fill="FFFFFF"/>
        </w:rPr>
        <w:t xml:space="preserve"> в ценные бумаги</w:t>
      </w:r>
      <w:r w:rsidR="00303D9C">
        <w:rPr>
          <w:color w:val="000000"/>
          <w:sz w:val="28"/>
          <w:szCs w:val="28"/>
          <w:shd w:val="clear" w:color="auto" w:fill="FFFFFF"/>
        </w:rPr>
        <w:t xml:space="preserve">. </w:t>
      </w:r>
      <w:r w:rsidR="009A0E9A">
        <w:rPr>
          <w:color w:val="000000"/>
          <w:sz w:val="28"/>
          <w:szCs w:val="28"/>
          <w:shd w:val="clear" w:color="auto" w:fill="FFFFFF"/>
        </w:rPr>
        <w:t>Соответственно</w:t>
      </w:r>
      <w:r w:rsidR="00F82F2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3F49ED">
        <w:rPr>
          <w:color w:val="000000"/>
          <w:sz w:val="28"/>
          <w:szCs w:val="28"/>
          <w:shd w:val="clear" w:color="auto" w:fill="FFFFFF"/>
        </w:rPr>
        <w:t xml:space="preserve">ействия бухгалтера являются </w:t>
      </w:r>
      <w:r w:rsidR="003F49ED">
        <w:rPr>
          <w:color w:val="000000"/>
          <w:sz w:val="28"/>
          <w:szCs w:val="28"/>
          <w:shd w:val="clear" w:color="auto" w:fill="FFFFFF"/>
        </w:rPr>
        <w:lastRenderedPageBreak/>
        <w:t>правильными.</w:t>
      </w:r>
    </w:p>
    <w:p w:rsidR="00001ED4" w:rsidRPr="009E7659" w:rsidRDefault="00001ED4" w:rsidP="00E509ED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r w:rsidRPr="009E7659">
        <w:rPr>
          <w:b/>
          <w:sz w:val="28"/>
          <w:szCs w:val="28"/>
        </w:rPr>
        <w:t>Практическая часть</w:t>
      </w:r>
    </w:p>
    <w:p w:rsidR="00001ED4" w:rsidRDefault="00001ED4" w:rsidP="00CE75A6">
      <w:pPr>
        <w:pStyle w:val="Standard"/>
        <w:spacing w:line="360" w:lineRule="auto"/>
        <w:ind w:firstLine="709"/>
        <w:jc w:val="both"/>
        <w:rPr>
          <w:i/>
          <w:sz w:val="28"/>
          <w:szCs w:val="28"/>
        </w:rPr>
      </w:pPr>
      <w:r w:rsidRPr="009E7659">
        <w:rPr>
          <w:i/>
          <w:sz w:val="28"/>
          <w:szCs w:val="28"/>
        </w:rPr>
        <w:t>Определите показатели ликвидности по данным таблицы. Сравните их с нормативными значениями. Сделайте выводы.</w:t>
      </w:r>
    </w:p>
    <w:tbl>
      <w:tblPr>
        <w:tblStyle w:val="a4"/>
        <w:tblW w:w="9346" w:type="dxa"/>
        <w:tblLayout w:type="fixed"/>
        <w:tblLook w:val="04A0" w:firstRow="1" w:lastRow="0" w:firstColumn="1" w:lastColumn="0" w:noHBand="0" w:noVBand="1"/>
      </w:tblPr>
      <w:tblGrid>
        <w:gridCol w:w="5240"/>
        <w:gridCol w:w="1298"/>
        <w:gridCol w:w="1254"/>
        <w:gridCol w:w="1554"/>
      </w:tblGrid>
      <w:tr w:rsidR="00CE75A6" w:rsidTr="00AA3355">
        <w:tc>
          <w:tcPr>
            <w:tcW w:w="5240" w:type="dxa"/>
            <w:vMerge w:val="restart"/>
          </w:tcPr>
          <w:p w:rsidR="00CE75A6" w:rsidRPr="00CE75A6" w:rsidRDefault="00CE75A6" w:rsidP="00CE75A6">
            <w:pPr>
              <w:pStyle w:val="Standard"/>
              <w:jc w:val="center"/>
            </w:pPr>
            <w:r w:rsidRPr="00CE75A6">
              <w:t>Показатель</w:t>
            </w:r>
          </w:p>
        </w:tc>
        <w:tc>
          <w:tcPr>
            <w:tcW w:w="2552" w:type="dxa"/>
            <w:gridSpan w:val="2"/>
          </w:tcPr>
          <w:p w:rsidR="00CE75A6" w:rsidRPr="00CE75A6" w:rsidRDefault="00CE75A6" w:rsidP="00CE75A6">
            <w:pPr>
              <w:pStyle w:val="Standard"/>
              <w:jc w:val="center"/>
            </w:pPr>
            <w:r w:rsidRPr="00CE75A6">
              <w:t>Значение показателя</w:t>
            </w:r>
          </w:p>
        </w:tc>
        <w:tc>
          <w:tcPr>
            <w:tcW w:w="1554" w:type="dxa"/>
            <w:vMerge w:val="restart"/>
          </w:tcPr>
          <w:p w:rsidR="00CE75A6" w:rsidRPr="00CE75A6" w:rsidRDefault="00CE75A6" w:rsidP="00CE75A6">
            <w:pPr>
              <w:pStyle w:val="Standard"/>
              <w:jc w:val="center"/>
            </w:pPr>
            <w:r w:rsidRPr="00CE75A6">
              <w:t>Отклонение</w:t>
            </w:r>
          </w:p>
        </w:tc>
      </w:tr>
      <w:tr w:rsidR="00CE75A6" w:rsidTr="00AA3355">
        <w:tc>
          <w:tcPr>
            <w:tcW w:w="5240" w:type="dxa"/>
            <w:vMerge/>
          </w:tcPr>
          <w:p w:rsidR="00CE75A6" w:rsidRPr="00CE75A6" w:rsidRDefault="00CE75A6" w:rsidP="00CE75A6">
            <w:pPr>
              <w:pStyle w:val="Standard"/>
              <w:jc w:val="both"/>
            </w:pPr>
          </w:p>
        </w:tc>
        <w:tc>
          <w:tcPr>
            <w:tcW w:w="1298" w:type="dxa"/>
          </w:tcPr>
          <w:p w:rsidR="00CE75A6" w:rsidRPr="00CE75A6" w:rsidRDefault="00CE75A6" w:rsidP="00CE75A6">
            <w:pPr>
              <w:pStyle w:val="Standard"/>
              <w:jc w:val="center"/>
            </w:pPr>
            <w:r>
              <w:t>факт</w:t>
            </w:r>
          </w:p>
        </w:tc>
        <w:tc>
          <w:tcPr>
            <w:tcW w:w="1254" w:type="dxa"/>
          </w:tcPr>
          <w:p w:rsidR="00CE75A6" w:rsidRPr="00CE75A6" w:rsidRDefault="00CE75A6" w:rsidP="00CE75A6">
            <w:pPr>
              <w:pStyle w:val="Standard"/>
              <w:jc w:val="center"/>
            </w:pPr>
            <w:r>
              <w:t>норматив</w:t>
            </w:r>
          </w:p>
        </w:tc>
        <w:tc>
          <w:tcPr>
            <w:tcW w:w="1554" w:type="dxa"/>
            <w:vMerge/>
          </w:tcPr>
          <w:p w:rsidR="00CE75A6" w:rsidRPr="00CE75A6" w:rsidRDefault="00CE75A6" w:rsidP="00CE75A6">
            <w:pPr>
              <w:pStyle w:val="Standard"/>
              <w:jc w:val="both"/>
            </w:pPr>
          </w:p>
        </w:tc>
      </w:tr>
      <w:tr w:rsidR="00CE75A6" w:rsidTr="00AA3355">
        <w:tc>
          <w:tcPr>
            <w:tcW w:w="5240" w:type="dxa"/>
          </w:tcPr>
          <w:p w:rsidR="00CE75A6" w:rsidRPr="00CE75A6" w:rsidRDefault="00CE75A6" w:rsidP="00CE75A6">
            <w:pPr>
              <w:pStyle w:val="Standard"/>
              <w:jc w:val="both"/>
            </w:pPr>
            <w:r>
              <w:t>Капитал банка, тыс. руб.</w:t>
            </w:r>
          </w:p>
        </w:tc>
        <w:tc>
          <w:tcPr>
            <w:tcW w:w="1298" w:type="dxa"/>
          </w:tcPr>
          <w:p w:rsidR="00CE75A6" w:rsidRPr="00CE75A6" w:rsidRDefault="00CE75A6" w:rsidP="00AA3355">
            <w:pPr>
              <w:pStyle w:val="Standard"/>
              <w:jc w:val="center"/>
            </w:pPr>
            <w:r>
              <w:t>110 000</w:t>
            </w:r>
          </w:p>
        </w:tc>
        <w:tc>
          <w:tcPr>
            <w:tcW w:w="1254" w:type="dxa"/>
          </w:tcPr>
          <w:p w:rsidR="0088408D" w:rsidRPr="0088408D" w:rsidRDefault="0088408D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88408D" w:rsidRPr="00CE75A6" w:rsidRDefault="0088408D" w:rsidP="0088408D">
            <w:pPr>
              <w:pStyle w:val="Standard"/>
              <w:jc w:val="center"/>
            </w:pPr>
            <w:r>
              <w:t>Х</w:t>
            </w:r>
          </w:p>
        </w:tc>
      </w:tr>
      <w:tr w:rsidR="00CE75A6" w:rsidTr="00AA3355">
        <w:tc>
          <w:tcPr>
            <w:tcW w:w="5240" w:type="dxa"/>
          </w:tcPr>
          <w:p w:rsidR="00CE75A6" w:rsidRPr="00CE75A6" w:rsidRDefault="0088408D" w:rsidP="00CE75A6">
            <w:pPr>
              <w:pStyle w:val="Standard"/>
              <w:jc w:val="both"/>
            </w:pPr>
            <w:r>
              <w:t xml:space="preserve">Обязательства банка до востребования и на срок до 30 дней, тыс. руб. </w:t>
            </w:r>
          </w:p>
        </w:tc>
        <w:tc>
          <w:tcPr>
            <w:tcW w:w="1298" w:type="dxa"/>
          </w:tcPr>
          <w:p w:rsidR="00CE75A6" w:rsidRPr="00CE75A6" w:rsidRDefault="0088408D" w:rsidP="00AA3355">
            <w:pPr>
              <w:pStyle w:val="Standard"/>
              <w:jc w:val="center"/>
            </w:pPr>
            <w:r>
              <w:t>54 000</w:t>
            </w:r>
          </w:p>
        </w:tc>
        <w:tc>
          <w:tcPr>
            <w:tcW w:w="1254" w:type="dxa"/>
          </w:tcPr>
          <w:p w:rsidR="00CE75A6" w:rsidRPr="00CE75A6" w:rsidRDefault="0088408D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CE75A6" w:rsidRPr="00CE75A6" w:rsidRDefault="0088408D" w:rsidP="0088408D">
            <w:pPr>
              <w:pStyle w:val="Standard"/>
              <w:jc w:val="center"/>
            </w:pPr>
            <w:r>
              <w:t>Х</w:t>
            </w:r>
          </w:p>
        </w:tc>
      </w:tr>
      <w:tr w:rsidR="00CE75A6" w:rsidTr="00AA3355">
        <w:tc>
          <w:tcPr>
            <w:tcW w:w="5240" w:type="dxa"/>
          </w:tcPr>
          <w:p w:rsidR="00CE75A6" w:rsidRPr="00CE75A6" w:rsidRDefault="0088408D" w:rsidP="00CE75A6">
            <w:pPr>
              <w:pStyle w:val="Standard"/>
              <w:jc w:val="both"/>
            </w:pPr>
            <w:r>
              <w:t>Обязательства банка</w:t>
            </w:r>
            <w:r>
              <w:t xml:space="preserve"> по депозитным счетам и полученным кредитам сроком погашения свыше года, тыс. руб. </w:t>
            </w:r>
          </w:p>
        </w:tc>
        <w:tc>
          <w:tcPr>
            <w:tcW w:w="1298" w:type="dxa"/>
          </w:tcPr>
          <w:p w:rsidR="00CE75A6" w:rsidRPr="00CE75A6" w:rsidRDefault="0088408D" w:rsidP="00AA3355">
            <w:pPr>
              <w:pStyle w:val="Standard"/>
              <w:jc w:val="center"/>
            </w:pPr>
            <w:r>
              <w:t>76 000</w:t>
            </w:r>
          </w:p>
        </w:tc>
        <w:tc>
          <w:tcPr>
            <w:tcW w:w="1254" w:type="dxa"/>
          </w:tcPr>
          <w:p w:rsidR="00CE75A6" w:rsidRPr="00CE75A6" w:rsidRDefault="0088408D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CE75A6" w:rsidRPr="00CE75A6" w:rsidRDefault="0088408D" w:rsidP="0088408D">
            <w:pPr>
              <w:pStyle w:val="Standard"/>
              <w:jc w:val="center"/>
            </w:pPr>
            <w:r>
              <w:t>Х</w:t>
            </w:r>
          </w:p>
        </w:tc>
      </w:tr>
      <w:tr w:rsidR="00CE75A6" w:rsidTr="00AA3355">
        <w:tc>
          <w:tcPr>
            <w:tcW w:w="5240" w:type="dxa"/>
          </w:tcPr>
          <w:p w:rsidR="00CE75A6" w:rsidRPr="00CE75A6" w:rsidRDefault="00FC6032" w:rsidP="00CE75A6">
            <w:pPr>
              <w:pStyle w:val="Standard"/>
              <w:jc w:val="both"/>
            </w:pPr>
            <w:r>
              <w:t>Ликвидные активы, тыс. руб.</w:t>
            </w:r>
          </w:p>
        </w:tc>
        <w:tc>
          <w:tcPr>
            <w:tcW w:w="1298" w:type="dxa"/>
          </w:tcPr>
          <w:p w:rsidR="00CE75A6" w:rsidRPr="00CE75A6" w:rsidRDefault="0088408D" w:rsidP="00AA3355">
            <w:pPr>
              <w:pStyle w:val="Standard"/>
              <w:jc w:val="center"/>
            </w:pPr>
            <w:r>
              <w:t>64 340</w:t>
            </w:r>
          </w:p>
        </w:tc>
        <w:tc>
          <w:tcPr>
            <w:tcW w:w="1254" w:type="dxa"/>
          </w:tcPr>
          <w:p w:rsidR="00CE75A6" w:rsidRPr="00CE75A6" w:rsidRDefault="0088408D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CE75A6" w:rsidRPr="00CE75A6" w:rsidRDefault="0088408D" w:rsidP="0088408D">
            <w:pPr>
              <w:pStyle w:val="Standard"/>
              <w:jc w:val="center"/>
            </w:pPr>
            <w:r>
              <w:t>Х</w:t>
            </w:r>
          </w:p>
        </w:tc>
      </w:tr>
      <w:tr w:rsidR="00FC6032" w:rsidTr="00AA3355">
        <w:tc>
          <w:tcPr>
            <w:tcW w:w="5240" w:type="dxa"/>
          </w:tcPr>
          <w:p w:rsidR="00FC6032" w:rsidRDefault="00FC6032" w:rsidP="00CE75A6">
            <w:pPr>
              <w:pStyle w:val="Standard"/>
              <w:jc w:val="both"/>
            </w:pPr>
            <w:r>
              <w:t>Общая сумма активов, тыс. руб.</w:t>
            </w:r>
          </w:p>
        </w:tc>
        <w:tc>
          <w:tcPr>
            <w:tcW w:w="1298" w:type="dxa"/>
          </w:tcPr>
          <w:p w:rsidR="00FC6032" w:rsidRDefault="00FC6032" w:rsidP="00AA3355">
            <w:pPr>
              <w:pStyle w:val="Standard"/>
              <w:jc w:val="center"/>
            </w:pPr>
            <w:r>
              <w:t>374 170</w:t>
            </w:r>
          </w:p>
        </w:tc>
        <w:tc>
          <w:tcPr>
            <w:tcW w:w="1254" w:type="dxa"/>
          </w:tcPr>
          <w:p w:rsidR="00FC6032" w:rsidRDefault="00FC6032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FC6032" w:rsidRDefault="00FC6032" w:rsidP="0088408D">
            <w:pPr>
              <w:pStyle w:val="Standard"/>
              <w:jc w:val="center"/>
            </w:pPr>
            <w:r>
              <w:t>Х</w:t>
            </w:r>
          </w:p>
        </w:tc>
      </w:tr>
      <w:tr w:rsidR="00FC6032" w:rsidTr="00AA3355">
        <w:tc>
          <w:tcPr>
            <w:tcW w:w="5240" w:type="dxa"/>
          </w:tcPr>
          <w:p w:rsidR="00FC6032" w:rsidRDefault="00FC6032" w:rsidP="00CE75A6">
            <w:pPr>
              <w:pStyle w:val="Standard"/>
              <w:jc w:val="both"/>
            </w:pPr>
            <w:r>
              <w:t>Сумма обязательных резервов банка, тыс. руб.</w:t>
            </w:r>
          </w:p>
        </w:tc>
        <w:tc>
          <w:tcPr>
            <w:tcW w:w="1298" w:type="dxa"/>
          </w:tcPr>
          <w:p w:rsidR="00FC6032" w:rsidRDefault="00FC6032" w:rsidP="00AA3355">
            <w:pPr>
              <w:pStyle w:val="Standard"/>
              <w:jc w:val="center"/>
            </w:pPr>
            <w:r>
              <w:t>9 000</w:t>
            </w:r>
          </w:p>
        </w:tc>
        <w:tc>
          <w:tcPr>
            <w:tcW w:w="1254" w:type="dxa"/>
          </w:tcPr>
          <w:p w:rsidR="00FC6032" w:rsidRDefault="00FC6032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FC6032" w:rsidRDefault="00FC6032" w:rsidP="0088408D">
            <w:pPr>
              <w:pStyle w:val="Standard"/>
              <w:jc w:val="center"/>
            </w:pPr>
            <w:r>
              <w:t>Х</w:t>
            </w:r>
          </w:p>
        </w:tc>
      </w:tr>
      <w:tr w:rsidR="00FC6032" w:rsidTr="00AA3355">
        <w:tc>
          <w:tcPr>
            <w:tcW w:w="5240" w:type="dxa"/>
          </w:tcPr>
          <w:p w:rsidR="00FC6032" w:rsidRDefault="00FC6032" w:rsidP="00CE75A6">
            <w:pPr>
              <w:pStyle w:val="Standard"/>
              <w:jc w:val="both"/>
            </w:pPr>
            <w:r>
              <w:t xml:space="preserve">Кредитные вложения с оставшимся сроком до погашения свыше года, тыс. руб. </w:t>
            </w:r>
          </w:p>
        </w:tc>
        <w:tc>
          <w:tcPr>
            <w:tcW w:w="1298" w:type="dxa"/>
          </w:tcPr>
          <w:p w:rsidR="00FC6032" w:rsidRDefault="00AA3355" w:rsidP="00AA3355">
            <w:pPr>
              <w:pStyle w:val="Standard"/>
              <w:jc w:val="center"/>
            </w:pPr>
            <w:r>
              <w:t>102 350</w:t>
            </w:r>
          </w:p>
        </w:tc>
        <w:tc>
          <w:tcPr>
            <w:tcW w:w="1254" w:type="dxa"/>
          </w:tcPr>
          <w:p w:rsidR="00FC6032" w:rsidRDefault="00AA3355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FC6032" w:rsidRDefault="00AA3355" w:rsidP="0088408D">
            <w:pPr>
              <w:pStyle w:val="Standard"/>
              <w:jc w:val="center"/>
            </w:pPr>
            <w:r>
              <w:t>Х</w:t>
            </w:r>
          </w:p>
        </w:tc>
      </w:tr>
      <w:tr w:rsidR="00AA3355" w:rsidTr="00AA3355">
        <w:tc>
          <w:tcPr>
            <w:tcW w:w="5240" w:type="dxa"/>
          </w:tcPr>
          <w:p w:rsidR="00AA3355" w:rsidRDefault="00AA3355" w:rsidP="00CE75A6">
            <w:pPr>
              <w:pStyle w:val="Standard"/>
              <w:jc w:val="both"/>
            </w:pPr>
            <w:r>
              <w:t xml:space="preserve">Высоколиквидные активы, тыс. руб. </w:t>
            </w:r>
          </w:p>
        </w:tc>
        <w:tc>
          <w:tcPr>
            <w:tcW w:w="1298" w:type="dxa"/>
          </w:tcPr>
          <w:p w:rsidR="00AA3355" w:rsidRDefault="00AA3355" w:rsidP="00AA3355">
            <w:pPr>
              <w:pStyle w:val="Standard"/>
              <w:jc w:val="center"/>
            </w:pPr>
            <w:r>
              <w:t>9 174</w:t>
            </w:r>
          </w:p>
        </w:tc>
        <w:tc>
          <w:tcPr>
            <w:tcW w:w="1254" w:type="dxa"/>
          </w:tcPr>
          <w:p w:rsidR="00AA3355" w:rsidRDefault="00AA3355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AA3355" w:rsidRDefault="00AA3355" w:rsidP="0088408D">
            <w:pPr>
              <w:pStyle w:val="Standard"/>
              <w:jc w:val="center"/>
            </w:pPr>
            <w:r>
              <w:t>Х</w:t>
            </w:r>
          </w:p>
        </w:tc>
      </w:tr>
      <w:tr w:rsidR="00AA3355" w:rsidTr="00AA3355">
        <w:tc>
          <w:tcPr>
            <w:tcW w:w="5240" w:type="dxa"/>
          </w:tcPr>
          <w:p w:rsidR="00AA3355" w:rsidRDefault="00AA3355" w:rsidP="00CE75A6">
            <w:pPr>
              <w:pStyle w:val="Standard"/>
              <w:jc w:val="both"/>
            </w:pPr>
            <w:r>
              <w:t>Обязательства до востребования</w:t>
            </w:r>
          </w:p>
        </w:tc>
        <w:tc>
          <w:tcPr>
            <w:tcW w:w="1298" w:type="dxa"/>
          </w:tcPr>
          <w:p w:rsidR="00AA3355" w:rsidRDefault="00AA3355" w:rsidP="00AA3355">
            <w:pPr>
              <w:pStyle w:val="Standard"/>
              <w:jc w:val="center"/>
            </w:pPr>
            <w:r>
              <w:t>41 700</w:t>
            </w:r>
          </w:p>
        </w:tc>
        <w:tc>
          <w:tcPr>
            <w:tcW w:w="1254" w:type="dxa"/>
          </w:tcPr>
          <w:p w:rsidR="00AA3355" w:rsidRDefault="00AA3355" w:rsidP="0088408D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AA3355" w:rsidRDefault="00AA3355" w:rsidP="0088408D">
            <w:pPr>
              <w:pStyle w:val="Standard"/>
              <w:jc w:val="center"/>
            </w:pPr>
            <w:r>
              <w:t>Х</w:t>
            </w:r>
          </w:p>
        </w:tc>
      </w:tr>
      <w:tr w:rsidR="00AA3355" w:rsidTr="00AA3355">
        <w:tc>
          <w:tcPr>
            <w:tcW w:w="5240" w:type="dxa"/>
          </w:tcPr>
          <w:p w:rsidR="00AA3355" w:rsidRDefault="00AA3355" w:rsidP="00CE75A6">
            <w:pPr>
              <w:pStyle w:val="Standard"/>
              <w:jc w:val="both"/>
            </w:pPr>
            <w:r>
              <w:t>Показатель текущей ликвидности, %</w:t>
            </w:r>
          </w:p>
        </w:tc>
        <w:tc>
          <w:tcPr>
            <w:tcW w:w="1298" w:type="dxa"/>
          </w:tcPr>
          <w:p w:rsidR="00AA3355" w:rsidRDefault="00A15C1C" w:rsidP="00AA3355">
            <w:pPr>
              <w:pStyle w:val="Standard"/>
              <w:jc w:val="center"/>
            </w:pPr>
            <w:r>
              <w:t>119</w:t>
            </w:r>
          </w:p>
        </w:tc>
        <w:tc>
          <w:tcPr>
            <w:tcW w:w="1254" w:type="dxa"/>
          </w:tcPr>
          <w:p w:rsidR="00AA3355" w:rsidRPr="00A50538" w:rsidRDefault="006C3C89" w:rsidP="0088408D">
            <w:pPr>
              <w:pStyle w:val="Standard"/>
              <w:jc w:val="center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≥</w:t>
            </w:r>
            <w:r>
              <w:rPr>
                <w:lang w:val="en-US"/>
              </w:rPr>
              <w:t>50</w:t>
            </w:r>
          </w:p>
        </w:tc>
        <w:tc>
          <w:tcPr>
            <w:tcW w:w="1554" w:type="dxa"/>
          </w:tcPr>
          <w:p w:rsidR="00AA3355" w:rsidRPr="00A15C1C" w:rsidRDefault="00A15C1C" w:rsidP="0088408D">
            <w:pPr>
              <w:pStyle w:val="Standard"/>
              <w:jc w:val="center"/>
            </w:pPr>
            <w:r>
              <w:t>+69</w:t>
            </w:r>
          </w:p>
        </w:tc>
      </w:tr>
      <w:tr w:rsidR="00AA3355" w:rsidTr="00AA3355">
        <w:tc>
          <w:tcPr>
            <w:tcW w:w="5240" w:type="dxa"/>
          </w:tcPr>
          <w:p w:rsidR="00AA3355" w:rsidRDefault="00AA3355" w:rsidP="00CE75A6">
            <w:pPr>
              <w:pStyle w:val="Standard"/>
              <w:jc w:val="both"/>
            </w:pPr>
            <w:r>
              <w:t>Показатель долгосрочной</w:t>
            </w:r>
            <w:r>
              <w:t xml:space="preserve"> ликвидности, %</w:t>
            </w:r>
          </w:p>
        </w:tc>
        <w:tc>
          <w:tcPr>
            <w:tcW w:w="1298" w:type="dxa"/>
          </w:tcPr>
          <w:p w:rsidR="00AA3355" w:rsidRDefault="00F42823" w:rsidP="00F42823">
            <w:pPr>
              <w:pStyle w:val="Standard"/>
              <w:jc w:val="center"/>
            </w:pPr>
            <w:r>
              <w:t>55</w:t>
            </w:r>
          </w:p>
        </w:tc>
        <w:tc>
          <w:tcPr>
            <w:tcW w:w="1254" w:type="dxa"/>
          </w:tcPr>
          <w:p w:rsidR="00AA3355" w:rsidRDefault="00F42823" w:rsidP="0088408D">
            <w:pPr>
              <w:pStyle w:val="Standard"/>
              <w:jc w:val="center"/>
            </w:pPr>
            <w:r>
              <w:rPr>
                <w:rFonts w:cs="Times New Roman"/>
              </w:rPr>
              <w:t>≤</w:t>
            </w:r>
            <w:r>
              <w:t>120</w:t>
            </w:r>
          </w:p>
        </w:tc>
        <w:tc>
          <w:tcPr>
            <w:tcW w:w="1554" w:type="dxa"/>
          </w:tcPr>
          <w:p w:rsidR="00AA3355" w:rsidRDefault="00F42823" w:rsidP="0088408D">
            <w:pPr>
              <w:pStyle w:val="Standard"/>
              <w:jc w:val="center"/>
            </w:pPr>
            <w:r>
              <w:t>+65</w:t>
            </w:r>
          </w:p>
        </w:tc>
      </w:tr>
      <w:tr w:rsidR="00AA3355" w:rsidTr="00AA3355">
        <w:tc>
          <w:tcPr>
            <w:tcW w:w="5240" w:type="dxa"/>
          </w:tcPr>
          <w:p w:rsidR="00AA3355" w:rsidRDefault="00AA3355" w:rsidP="00CE75A6">
            <w:pPr>
              <w:pStyle w:val="Standard"/>
              <w:jc w:val="both"/>
            </w:pPr>
            <w:r>
              <w:t>Показатель мгновенной</w:t>
            </w:r>
            <w:r>
              <w:t xml:space="preserve"> ликвидности, %</w:t>
            </w:r>
          </w:p>
        </w:tc>
        <w:tc>
          <w:tcPr>
            <w:tcW w:w="1298" w:type="dxa"/>
          </w:tcPr>
          <w:p w:rsidR="00AA3355" w:rsidRDefault="006C3C89" w:rsidP="006C3C89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1254" w:type="dxa"/>
          </w:tcPr>
          <w:p w:rsidR="00AA3355" w:rsidRDefault="006C3C89" w:rsidP="0088408D">
            <w:pPr>
              <w:pStyle w:val="Standard"/>
              <w:jc w:val="center"/>
            </w:pPr>
            <w:r>
              <w:rPr>
                <w:rFonts w:cs="Times New Roman"/>
                <w:lang w:val="en-US"/>
              </w:rPr>
              <w:t>≥</w:t>
            </w:r>
            <w:r>
              <w:rPr>
                <w:lang w:val="en-US"/>
              </w:rPr>
              <w:t>15</w:t>
            </w:r>
          </w:p>
        </w:tc>
        <w:tc>
          <w:tcPr>
            <w:tcW w:w="1554" w:type="dxa"/>
          </w:tcPr>
          <w:p w:rsidR="00AA3355" w:rsidRDefault="006C3C89" w:rsidP="0088408D">
            <w:pPr>
              <w:pStyle w:val="Standard"/>
              <w:jc w:val="center"/>
            </w:pPr>
            <w:r>
              <w:t>+5</w:t>
            </w:r>
          </w:p>
        </w:tc>
      </w:tr>
    </w:tbl>
    <w:p w:rsidR="00CE75A6" w:rsidRPr="009E7659" w:rsidRDefault="00CE75A6" w:rsidP="00CE75A6">
      <w:pPr>
        <w:pStyle w:val="Standard"/>
        <w:spacing w:line="360" w:lineRule="auto"/>
        <w:ind w:firstLine="709"/>
        <w:jc w:val="both"/>
        <w:rPr>
          <w:i/>
          <w:sz w:val="28"/>
          <w:szCs w:val="28"/>
        </w:rPr>
      </w:pPr>
    </w:p>
    <w:p w:rsidR="008B3AFE" w:rsidRPr="00A50538" w:rsidRDefault="00A50538" w:rsidP="00A50538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</w:pPr>
      <w:r w:rsidRPr="00A50538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>Состояние ликвидности банка является важнейшей характеристикой его деятельности, позволяющей судить о надежности банка для клиента.</w:t>
      </w:r>
    </w:p>
    <w:p w:rsidR="00A50538" w:rsidRPr="00A50538" w:rsidRDefault="00A50538" w:rsidP="00A505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Документом, регламентирующим поддержание банка в состоянии ликвидности, является Инструкция Банка России № 110-И, где указаны нормативы ликвидности, нарушать которые банк не должен. К нормативам, контролирующим состояние ликвидности банка относят нормативы Н2, Н3, Н4.</w:t>
      </w:r>
    </w:p>
    <w:p w:rsidR="00A50538" w:rsidRPr="00A50538" w:rsidRDefault="00A50538" w:rsidP="00A505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В соответствии с Инструкцией № 110-И, норматив мгновенной ликвидности банка (Н2) регулирует риск потери банком ликвидности в течение одного операционного дня и определяет минимальное отношение суммы высоколиквидных активов банка к сумме пассивов банка по счетам до востребования.</w:t>
      </w:r>
    </w:p>
    <w:p w:rsidR="00A50538" w:rsidRPr="00A50538" w:rsidRDefault="00A50538" w:rsidP="00A505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drawing>
          <wp:inline distT="0" distB="0" distL="0" distR="0" wp14:anchorId="0634CCC0" wp14:editId="329F8891">
            <wp:extent cx="1915160" cy="611505"/>
            <wp:effectExtent l="0" t="0" r="8890" b="0"/>
            <wp:docPr id="2" name="Рисунок 2" descr="T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89" w:rsidRDefault="00A50538" w:rsidP="006C3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lastRenderedPageBreak/>
        <w:t xml:space="preserve">где Лам – ликвидные активы до востребования, </w:t>
      </w:r>
    </w:p>
    <w:p w:rsidR="00A50538" w:rsidRDefault="006C3C89" w:rsidP="006C3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     </w:t>
      </w:r>
      <w:proofErr w:type="spellStart"/>
      <w:r w:rsidR="00A50538"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Овм</w:t>
      </w:r>
      <w:proofErr w:type="spellEnd"/>
      <w:r w:rsidR="00A50538"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– краткосрочные обязательства кредитной организации и обязательства до востребования.</w:t>
      </w:r>
    </w:p>
    <w:p w:rsidR="00A50538" w:rsidRPr="00A50538" w:rsidRDefault="00A50538" w:rsidP="00992B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Средства, об</w:t>
      </w:r>
      <w:r w:rsidR="006C3C89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ъединенные в показатель «Лам</w:t>
      </w:r>
      <w:proofErr w:type="gramStart"/>
      <w:r w:rsidR="006C3C89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»,  </w:t>
      </w:r>
      <w:r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называют</w:t>
      </w:r>
      <w:proofErr w:type="gramEnd"/>
      <w:r w:rsidRPr="00A50538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высоколиквидными банковскими активами: это те активы, которые могут мгновенно использоваться банком для погашения своих обязательств.</w:t>
      </w:r>
    </w:p>
    <w:p w:rsidR="00204812" w:rsidRPr="00204812" w:rsidRDefault="00204812" w:rsidP="002048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Н2</w:t>
      </w:r>
      <w:r w:rsidRPr="00204812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=9174/41700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en-US"/>
        </w:rPr>
        <w:t>*100</w:t>
      </w:r>
      <w:r w:rsidRPr="00204812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=22 %</w:t>
      </w:r>
    </w:p>
    <w:p w:rsidR="00A50538" w:rsidRDefault="00472338" w:rsidP="00992B4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</w:pPr>
      <w:r w:rsidRPr="00472338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>целом расчет показал, что банк</w:t>
      </w:r>
      <w:r w:rsidRPr="00472338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выполняет норматив мгновенной ликвидност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и, установленный Банком России, </w:t>
      </w:r>
      <w:r w:rsidR="00FA4A72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>что характеризует его</w:t>
      </w:r>
      <w:r w:rsidRPr="00472338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как н</w:t>
      </w:r>
      <w:r w:rsidR="0064026C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>адежный для клиента, так как имеет запас средств, находящий</w:t>
      </w:r>
      <w:r w:rsidRPr="00472338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>ся в немедленной готовности.</w:t>
      </w:r>
    </w:p>
    <w:p w:rsidR="00C75DB6" w:rsidRDefault="00C75DB6" w:rsidP="00992B4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</w:pPr>
      <w:proofErr w:type="gramStart"/>
      <w:r w:rsidRPr="00C75DB6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>Еще  одним</w:t>
      </w:r>
      <w:proofErr w:type="gramEnd"/>
      <w:r w:rsidRPr="00C75DB6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показателем, оценивающим ликвидность банка, является норматив текущей ликвидности банка (Н3), который регулирует риск потери банком ликвидности в течение ближайших к дате расчета норматива 30 календарных дней, и определяет минимальное отношение суммы ликвидных активов банка к сумме пассивов банка по счетам до востребования и на срок до 30 календарных дней.</w:t>
      </w:r>
    </w:p>
    <w:p w:rsidR="00C84136" w:rsidRPr="00C84136" w:rsidRDefault="00C84136" w:rsidP="00C84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C8413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Норматив текущей ликвидности банка (Н3) рассчитывается по следующей формуле:</w:t>
      </w:r>
    </w:p>
    <w:p w:rsidR="00C84136" w:rsidRPr="00C84136" w:rsidRDefault="00C84136" w:rsidP="003D0A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C8413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drawing>
          <wp:inline distT="0" distB="0" distL="0" distR="0" wp14:anchorId="19FAF96B" wp14:editId="4C3F2E33">
            <wp:extent cx="1525905" cy="488315"/>
            <wp:effectExtent l="0" t="0" r="0" b="6985"/>
            <wp:docPr id="3" name="Рисунок 3" descr="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36" w:rsidRPr="00C84136" w:rsidRDefault="006C3C89" w:rsidP="006C3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где </w:t>
      </w:r>
      <w:r w:rsidR="00C84136" w:rsidRPr="00C8413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Лат – ликвидные активы, то есть финансовые активы, которые должны быть получены банком и (или) могут быть востребованы в течение ближайших 30 календарных дней и(или) в случае необходимости реализованы банком в течение ближайших 30 календарных дней в целях получения денежных средств в указанные сроки;</w:t>
      </w:r>
    </w:p>
    <w:p w:rsidR="00C84136" w:rsidRPr="00C84136" w:rsidRDefault="006C3C89" w:rsidP="006C3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     </w:t>
      </w:r>
      <w:proofErr w:type="spellStart"/>
      <w:r w:rsidR="00C84136" w:rsidRPr="00C8413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Овт</w:t>
      </w:r>
      <w:proofErr w:type="spellEnd"/>
      <w:r w:rsidR="00C84136" w:rsidRPr="00C8413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– обязательства (пассивы) до востребования, по которым вкладчиком и (или) кредитором может быть предъявлено требование об их незамедлительном погашении, и обязательства банка перед кредиторами (вкладчиками) сроком исполнения в ближайшие 30 календарных дней. </w:t>
      </w:r>
    </w:p>
    <w:p w:rsidR="00C84136" w:rsidRDefault="00C84136" w:rsidP="006C3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C8413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lastRenderedPageBreak/>
        <w:t>Минимально допустимое числовое значение норматива Н3 устанав</w:t>
      </w:r>
      <w:r w:rsidR="00CD6471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ливается в размере 50 %. </w:t>
      </w:r>
    </w:p>
    <w:p w:rsidR="00204812" w:rsidRPr="00204812" w:rsidRDefault="00204812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Н</w:t>
      </w:r>
      <w:r w:rsidRPr="00204812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3=64340/54000 *100=119%</w:t>
      </w:r>
    </w:p>
    <w:p w:rsidR="009E1C9E" w:rsidRDefault="00204812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Таким образом, з</w:t>
      </w:r>
      <w:r w:rsidR="00F42823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а анализируемый период</w:t>
      </w:r>
      <w:r w:rsidR="009E1C9E"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текущая ликвидность банка соответствует нормативному показателю</w:t>
      </w:r>
      <w:r w:rsidR="00D026E4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, а именно больше нормативного практически в два раза</w:t>
      </w:r>
      <w:r w:rsidR="009E1C9E"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. </w:t>
      </w:r>
    </w:p>
    <w:p w:rsidR="009E1C9E" w:rsidRPr="009E1C9E" w:rsidRDefault="009E1C9E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Норматив долгосрочной ликвидности рассчитывается по следующей формуле: </w:t>
      </w:r>
    </w:p>
    <w:p w:rsidR="009E1C9E" w:rsidRPr="009E1C9E" w:rsidRDefault="009E1C9E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Н4 = </w:t>
      </w:r>
      <w:proofErr w:type="spellStart"/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Крд</w:t>
      </w:r>
      <w:proofErr w:type="spellEnd"/>
      <w:proofErr w:type="gramStart"/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/(</w:t>
      </w:r>
      <w:proofErr w:type="gramEnd"/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К + ОД) x 100%,</w:t>
      </w:r>
    </w:p>
    <w:p w:rsidR="009E1C9E" w:rsidRPr="009E1C9E" w:rsidRDefault="009E1C9E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где </w:t>
      </w:r>
      <w:proofErr w:type="spellStart"/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Крд</w:t>
      </w:r>
      <w:proofErr w:type="spellEnd"/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 – кредиты, выданные в рублях и </w:t>
      </w:r>
      <w:hyperlink r:id="rId7" w:tgtFrame="_blank" w:history="1">
        <w:r w:rsidRPr="009E1C9E">
          <w:rPr>
            <w:rFonts w:eastAsia="Andale Sans UI" w:cs="Tahoma"/>
            <w:color w:val="000000"/>
            <w:kern w:val="3"/>
            <w:sz w:val="28"/>
            <w:szCs w:val="28"/>
            <w:shd w:val="clear" w:color="auto" w:fill="FFFFFF"/>
          </w:rPr>
          <w:t>иностранной валюте</w:t>
        </w:r>
      </w:hyperlink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, займы в драгметаллах, выданные кредитной организацией, с оставшимся до погашения сроком свыше года, а также 50% </w:t>
      </w:r>
      <w:hyperlink r:id="rId8" w:tgtFrame="_blank" w:history="1">
        <w:r w:rsidRPr="009E1C9E">
          <w:rPr>
            <w:rFonts w:eastAsia="Andale Sans UI" w:cs="Tahoma"/>
            <w:color w:val="000000"/>
            <w:kern w:val="3"/>
            <w:sz w:val="28"/>
            <w:szCs w:val="28"/>
            <w:shd w:val="clear" w:color="auto" w:fill="FFFFFF"/>
          </w:rPr>
          <w:t>гарантий</w:t>
        </w:r>
      </w:hyperlink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 и</w:t>
      </w:r>
      <w:r w:rsidR="00F42823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9E1C9E">
          <w:rPr>
            <w:rFonts w:eastAsia="Andale Sans UI" w:cs="Tahoma"/>
            <w:color w:val="000000"/>
            <w:kern w:val="3"/>
            <w:sz w:val="28"/>
            <w:szCs w:val="28"/>
            <w:shd w:val="clear" w:color="auto" w:fill="FFFFFF"/>
          </w:rPr>
          <w:t>поручительств</w:t>
        </w:r>
      </w:hyperlink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, выданных кредитной организацией со сроком действия свыше одного года;</w:t>
      </w:r>
    </w:p>
    <w:p w:rsidR="009E1C9E" w:rsidRPr="009E1C9E" w:rsidRDefault="009E1C9E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      </w:t>
      </w:r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ОД – обязательства банка по депозитным счетам, кредитам, полученным банком, и обращающиеся на рынке долговые обязательства в рублях и иностранной валюте со сроком погашения свыше года.</w:t>
      </w:r>
    </w:p>
    <w:p w:rsidR="009E1C9E" w:rsidRPr="009E1C9E" w:rsidRDefault="009E1C9E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       </w:t>
      </w:r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К – собственный капитал банка.</w:t>
      </w:r>
    </w:p>
    <w:p w:rsidR="009E1C9E" w:rsidRPr="009E1C9E" w:rsidRDefault="009E1C9E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 w:rsidRPr="009E1C9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Максимально допустимое значение Н4 - 120%. </w:t>
      </w:r>
      <w:r w:rsidR="003C7A86" w:rsidRPr="003C7A8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Норматив указывает на то, что сумма долгосрочных кредитов не должна превышать сумму собственных средств (К) и долгосрочных ресурсов, привлекаемых банком.</w:t>
      </w:r>
    </w:p>
    <w:p w:rsidR="00204812" w:rsidRPr="00204812" w:rsidRDefault="00204812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en-US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Н4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en-US"/>
        </w:rPr>
        <w:t>=102350</w:t>
      </w:r>
      <w:proofErr w:type="gramStart"/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en-US"/>
        </w:rPr>
        <w:t>/(</w:t>
      </w:r>
      <w:proofErr w:type="gramEnd"/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en-US"/>
        </w:rPr>
        <w:t>110000+76000) *100= 55%</w:t>
      </w:r>
    </w:p>
    <w:p w:rsidR="009E1C9E" w:rsidRDefault="00387713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Таким образом, м</w:t>
      </w:r>
      <w:r w:rsidR="003C7A86" w:rsidRPr="003C7A86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ожно сделать вывод, что банк имеет потенциальную возможность продолжить размещать средства в долгосрочные кредиты или прочие активы с длительным сроком погашения без риска потери устойчивости. </w:t>
      </w:r>
    </w:p>
    <w:p w:rsidR="00D026E4" w:rsidRPr="00472338" w:rsidRDefault="00D026E4" w:rsidP="009E1C9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Следовательно, расчет показателей ликвидности банка показал его надежность для потенциальных клиентов</w:t>
      </w:r>
      <w:bookmarkStart w:id="1" w:name="_GoBack"/>
      <w:bookmarkEnd w:id="1"/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 xml:space="preserve">. </w:t>
      </w:r>
    </w:p>
    <w:sectPr w:rsidR="00D026E4" w:rsidRPr="0047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D4"/>
    <w:rsid w:val="00001ED4"/>
    <w:rsid w:val="00004E00"/>
    <w:rsid w:val="000D232E"/>
    <w:rsid w:val="001E5A6D"/>
    <w:rsid w:val="00204812"/>
    <w:rsid w:val="00231254"/>
    <w:rsid w:val="00303D9C"/>
    <w:rsid w:val="00387713"/>
    <w:rsid w:val="003C7A86"/>
    <w:rsid w:val="003D0AA2"/>
    <w:rsid w:val="003F49ED"/>
    <w:rsid w:val="00431B60"/>
    <w:rsid w:val="00472338"/>
    <w:rsid w:val="0061100C"/>
    <w:rsid w:val="00635AFA"/>
    <w:rsid w:val="0064026C"/>
    <w:rsid w:val="0067227C"/>
    <w:rsid w:val="006C3C89"/>
    <w:rsid w:val="00747DC5"/>
    <w:rsid w:val="0088408D"/>
    <w:rsid w:val="008B3AFE"/>
    <w:rsid w:val="008B73E7"/>
    <w:rsid w:val="008F6D88"/>
    <w:rsid w:val="00992B45"/>
    <w:rsid w:val="009A0E9A"/>
    <w:rsid w:val="009D335D"/>
    <w:rsid w:val="009E1C9E"/>
    <w:rsid w:val="009E7659"/>
    <w:rsid w:val="00A15C1C"/>
    <w:rsid w:val="00A50538"/>
    <w:rsid w:val="00A629F6"/>
    <w:rsid w:val="00A92D32"/>
    <w:rsid w:val="00AA3355"/>
    <w:rsid w:val="00AF778F"/>
    <w:rsid w:val="00B46A2A"/>
    <w:rsid w:val="00BB672B"/>
    <w:rsid w:val="00C75DB6"/>
    <w:rsid w:val="00C84136"/>
    <w:rsid w:val="00C914DD"/>
    <w:rsid w:val="00CB4156"/>
    <w:rsid w:val="00CD6471"/>
    <w:rsid w:val="00CE75A6"/>
    <w:rsid w:val="00D026E4"/>
    <w:rsid w:val="00D532F1"/>
    <w:rsid w:val="00D53946"/>
    <w:rsid w:val="00E509ED"/>
    <w:rsid w:val="00ED3735"/>
    <w:rsid w:val="00F42823"/>
    <w:rsid w:val="00F82F20"/>
    <w:rsid w:val="00FA4A72"/>
    <w:rsid w:val="00FC3D9D"/>
    <w:rsid w:val="00FC6032"/>
    <w:rsid w:val="00FD429B"/>
    <w:rsid w:val="00FF1A68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89ED"/>
  <w15:chartTrackingRefBased/>
  <w15:docId w15:val="{BE808300-4151-42D4-A34A-8BDF9CC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1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3">
    <w:name w:val="up3"/>
    <w:basedOn w:val="a"/>
    <w:rsid w:val="009E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.yuna.ru/?1879053312@0805386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s.yuna.ru/?1879053312@0805412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s.yuna.ru/?1879053312@0806078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0E30-DDE1-49D6-91BE-F66459CD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2017-10-25T10:48:00Z</dcterms:created>
  <dcterms:modified xsi:type="dcterms:W3CDTF">2017-10-25T17:00:00Z</dcterms:modified>
</cp:coreProperties>
</file>