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9905" w:type="dxa"/>
        <w:jc w:val="left"/>
        <w:tblInd w:w="0" w:type="dxa"/>
        <w:tblCellMar>
          <w:top w:w="0" w:type="dxa"/>
          <w:left w:w="103" w:type="dxa"/>
          <w:bottom w:w="0" w:type="dxa"/>
          <w:right w:w="108" w:type="dxa"/>
        </w:tblCellMar>
        <w:tblLook w:val="04a0"/>
      </w:tblPr>
      <w:tblGrid>
        <w:gridCol w:w="4952"/>
        <w:gridCol w:w="4952"/>
      </w:tblGrid>
      <w:tr>
        <w:trPr/>
        <w:tc>
          <w:tcPr>
            <w:tcW w:w="4952" w:type="dxa"/>
            <w:tcBorders/>
            <w:shd w:fill="auto" w:val="clear"/>
            <w:tcMar>
              <w:left w:w="103" w:type="dxa"/>
            </w:tcMar>
          </w:tcPr>
          <w:p>
            <w:pPr>
              <w:pStyle w:val="Normal"/>
              <w:spacing w:lineRule="auto" w:line="240" w:before="0" w:after="0"/>
              <w:jc w:val="center"/>
              <w:rPr>
                <w:rFonts w:ascii="Arial" w:hAnsi="Arial" w:cs="Arial"/>
              </w:rPr>
            </w:pPr>
            <w:r>
              <w:rPr>
                <w:rFonts w:cs="Arial"/>
                <w:sz w:val="28"/>
                <w:szCs w:val="28"/>
              </w:rPr>
              <w:t>English</w:t>
            </w:r>
          </w:p>
        </w:tc>
        <w:tc>
          <w:tcPr>
            <w:tcW w:w="4952" w:type="dxa"/>
            <w:tcBorders/>
            <w:shd w:fill="auto" w:val="clear"/>
            <w:tcMar>
              <w:left w:w="103" w:type="dxa"/>
            </w:tcMar>
          </w:tcPr>
          <w:p>
            <w:pPr>
              <w:pStyle w:val="Normal"/>
              <w:spacing w:lineRule="auto" w:line="240" w:before="0" w:after="0"/>
              <w:jc w:val="center"/>
              <w:rPr>
                <w:rFonts w:ascii="Arial" w:hAnsi="Arial" w:cs="Arial"/>
                <w:lang w:val="ru-RU"/>
              </w:rPr>
            </w:pPr>
            <w:r>
              <w:rPr>
                <w:rFonts w:cs="Arial"/>
                <w:sz w:val="28"/>
                <w:szCs w:val="28"/>
                <w:lang w:val="ru-RU"/>
              </w:rPr>
              <w:t>Русский</w:t>
            </w:r>
          </w:p>
        </w:tc>
      </w:tr>
      <w:tr>
        <w:trPr/>
        <w:tc>
          <w:tcPr>
            <w:tcW w:w="4952" w:type="dxa"/>
            <w:tcBorders/>
            <w:shd w:fill="auto" w:val="clear"/>
            <w:tcMar>
              <w:left w:w="103" w:type="dxa"/>
            </w:tcMar>
          </w:tcPr>
          <w:p>
            <w:pPr>
              <w:pStyle w:val="NoSpacing"/>
              <w:spacing w:lineRule="auto" w:line="240" w:before="0" w:after="0"/>
              <w:rPr/>
            </w:pPr>
            <w:r>
              <w:rPr>
                <w:rFonts w:cs="Arial" w:ascii="Times New Roman" w:hAnsi="Times New Roman"/>
                <w:b/>
                <w:sz w:val="28"/>
                <w:szCs w:val="28"/>
                <w:lang w:val="en-US"/>
              </w:rPr>
              <w:t>CLIMATE POLICIES HELPED PUT 54 MILLION EUROPEANS INTO 'ENERGY POVERTY.' CANADIANS ARE NEXT</w:t>
            </w:r>
          </w:p>
          <w:p>
            <w:pPr>
              <w:pStyle w:val="NoSpacing"/>
              <w:spacing w:lineRule="auto" w:line="240" w:before="0" w:after="0"/>
              <w:rPr>
                <w:rFonts w:ascii="Times New Roman" w:hAnsi="Times New Roman" w:cs="Arial"/>
                <w:sz w:val="28"/>
                <w:szCs w:val="28"/>
                <w:lang w:val="en-US"/>
              </w:rPr>
            </w:pPr>
            <w:r>
              <w:rPr>
                <w:rFonts w:cs="Arial" w:ascii="Times New Roman" w:hAnsi="Times New Roman"/>
                <w:sz w:val="28"/>
                <w:szCs w:val="28"/>
                <w:lang w:val="en-US"/>
              </w:rPr>
            </w:r>
          </w:p>
          <w:p>
            <w:pPr>
              <w:pStyle w:val="NoSpacing"/>
              <w:spacing w:lineRule="auto" w:line="240" w:before="0" w:after="0"/>
              <w:rPr>
                <w:rFonts w:ascii="Arial" w:hAnsi="Arial" w:cs="Arial"/>
                <w:i/>
                <w:i/>
                <w:lang w:val="en-US"/>
              </w:rPr>
            </w:pPr>
            <w:r>
              <w:rPr>
                <w:rFonts w:cs="Arial" w:ascii="Times New Roman" w:hAnsi="Times New Roman"/>
                <w:i/>
                <w:sz w:val="28"/>
                <w:szCs w:val="28"/>
                <w:lang w:val="en-US"/>
              </w:rPr>
              <w:t>According to the EU, 54 million people already cannot afford their energy bills</w:t>
            </w:r>
          </w:p>
          <w:p>
            <w:pPr>
              <w:pStyle w:val="NoSpacing"/>
              <w:spacing w:lineRule="auto" w:line="240" w:before="0" w:after="0"/>
              <w:rPr>
                <w:rFonts w:ascii="Times New Roman" w:hAnsi="Times New Roman" w:cs="Arial"/>
                <w:sz w:val="28"/>
                <w:szCs w:val="28"/>
                <w:lang w:val="en-US"/>
              </w:rPr>
            </w:pPr>
            <w:r>
              <w:rPr>
                <w:rFonts w:cs="Arial" w:ascii="Times New Roman" w:hAnsi="Times New Roman"/>
                <w:sz w:val="28"/>
                <w:szCs w:val="28"/>
                <w:lang w:val="en-US"/>
              </w:rPr>
            </w:r>
          </w:p>
          <w:p>
            <w:pPr>
              <w:pStyle w:val="NoSpacing"/>
              <w:spacing w:lineRule="auto" w:line="240" w:before="0" w:after="0"/>
              <w:rPr>
                <w:rFonts w:ascii="Arial" w:hAnsi="Arial" w:cs="Arial"/>
                <w:lang w:val="en-US"/>
              </w:rPr>
            </w:pPr>
            <w:r>
              <w:rPr>
                <w:rFonts w:cs="Arial" w:ascii="Times New Roman" w:hAnsi="Times New Roman"/>
                <w:sz w:val="28"/>
                <w:szCs w:val="28"/>
                <w:lang w:val="en-US"/>
              </w:rPr>
              <w:t>Europe has become a continent where families are often asked to pay exorbitant amounts for basic needs, including ener</w:t>
            </w:r>
            <w:bookmarkStart w:id="0" w:name="_GoBack"/>
            <w:bookmarkEnd w:id="0"/>
            <w:r>
              <w:rPr>
                <w:rFonts w:cs="Arial" w:ascii="Times New Roman" w:hAnsi="Times New Roman"/>
                <w:sz w:val="28"/>
                <w:szCs w:val="28"/>
                <w:lang w:val="en-US"/>
              </w:rPr>
              <w:t>gy. That has led to what is known as “energy poverty.” Many are not able to afford household power bills, especially in winter but also during summer heat waves.</w:t>
            </w:r>
          </w:p>
          <w:p>
            <w:pPr>
              <w:pStyle w:val="NoSpacing"/>
              <w:spacing w:lineRule="auto" w:line="240" w:before="0" w:after="0"/>
              <w:rPr>
                <w:rFonts w:ascii="Times New Roman" w:hAnsi="Times New Roman" w:cs="Arial"/>
                <w:sz w:val="28"/>
                <w:szCs w:val="28"/>
                <w:lang w:val="en-US"/>
              </w:rPr>
            </w:pPr>
            <w:r>
              <w:rPr>
                <w:rFonts w:cs="Arial" w:ascii="Times New Roman" w:hAnsi="Times New Roman"/>
                <w:sz w:val="28"/>
                <w:szCs w:val="28"/>
                <w:lang w:val="en-US"/>
              </w:rPr>
            </w:r>
          </w:p>
          <w:p>
            <w:pPr>
              <w:pStyle w:val="NoSpacing"/>
              <w:spacing w:lineRule="auto" w:line="240" w:before="0" w:after="0"/>
              <w:rPr>
                <w:rFonts w:ascii="Arial" w:hAnsi="Arial" w:cs="Arial"/>
                <w:lang w:val="en-US"/>
              </w:rPr>
            </w:pPr>
            <w:r>
              <w:rPr>
                <w:rFonts w:cs="Arial" w:ascii="Times New Roman" w:hAnsi="Times New Roman"/>
                <w:sz w:val="28"/>
                <w:szCs w:val="28"/>
                <w:lang w:val="en-US"/>
              </w:rPr>
              <w:t>The number of Europeans affected by this problem is high. According to the European Union in its 2015 report on rising energy costs, fully 11 per cent of its member states’ population — that’s 54 million people — already cannot afford their energy bills. The EU further estimates that fully one-quarter of residents, or 128 million people (and that includes the existing 54 million), are at risk of being energy poor.</w:t>
            </w:r>
          </w:p>
          <w:p>
            <w:pPr>
              <w:pStyle w:val="NoSpacing"/>
              <w:spacing w:lineRule="auto" w:line="240" w:before="0" w:after="0"/>
              <w:rPr>
                <w:rFonts w:ascii="Times New Roman" w:hAnsi="Times New Roman" w:cs="Arial"/>
                <w:sz w:val="28"/>
                <w:szCs w:val="28"/>
                <w:lang w:val="en-US"/>
              </w:rPr>
            </w:pPr>
            <w:r>
              <w:rPr>
                <w:rFonts w:cs="Arial" w:ascii="Times New Roman" w:hAnsi="Times New Roman"/>
                <w:sz w:val="28"/>
                <w:szCs w:val="28"/>
                <w:lang w:val="en-US"/>
              </w:rPr>
            </w:r>
          </w:p>
          <w:p>
            <w:pPr>
              <w:pStyle w:val="NoSpacing"/>
              <w:spacing w:lineRule="auto" w:line="240" w:before="0" w:after="0"/>
              <w:rPr>
                <w:rFonts w:ascii="Arial" w:hAnsi="Arial" w:cs="Arial"/>
                <w:lang w:val="en-US"/>
              </w:rPr>
            </w:pPr>
            <w:r>
              <w:rPr>
                <w:rFonts w:cs="Arial" w:ascii="Times New Roman" w:hAnsi="Times New Roman"/>
                <w:sz w:val="28"/>
                <w:szCs w:val="28"/>
                <w:lang w:val="en-US"/>
              </w:rPr>
              <w:t>Romania’s energy poverty, for example, clocks in at between 40 and 50 per cent of the population. Spain, Portugal, Estonia, Belgium, Malta, Slovakia, Italy, Ireland and even the United Kingdom record energy-poverty rates of between 20 and 30 per cent of their populations.</w:t>
            </w:r>
          </w:p>
          <w:p>
            <w:pPr>
              <w:pStyle w:val="NoSpacing"/>
              <w:spacing w:lineRule="auto" w:line="240" w:before="0" w:after="0"/>
              <w:rPr>
                <w:rFonts w:ascii="Times New Roman" w:hAnsi="Times New Roman" w:cs="Arial"/>
                <w:sz w:val="28"/>
                <w:szCs w:val="28"/>
                <w:lang w:val="en-US"/>
              </w:rPr>
            </w:pPr>
            <w:r>
              <w:rPr>
                <w:rFonts w:cs="Arial" w:ascii="Times New Roman" w:hAnsi="Times New Roman"/>
                <w:sz w:val="28"/>
                <w:szCs w:val="28"/>
                <w:lang w:val="en-US"/>
              </w:rPr>
            </w:r>
          </w:p>
          <w:p>
            <w:pPr>
              <w:pStyle w:val="NoSpacing"/>
              <w:spacing w:lineRule="auto" w:line="240" w:before="0" w:after="0"/>
              <w:rPr>
                <w:rFonts w:ascii="Arial" w:hAnsi="Arial" w:cs="Arial"/>
                <w:lang w:val="en-US"/>
              </w:rPr>
            </w:pPr>
            <w:r>
              <w:rPr>
                <w:rFonts w:cs="Arial" w:ascii="Times New Roman" w:hAnsi="Times New Roman"/>
                <w:sz w:val="28"/>
                <w:szCs w:val="28"/>
                <w:lang w:val="en-US"/>
              </w:rPr>
              <w:t>Such energy-poverty rates have led to what the EU references as “excessive mortality rates” in some of the same countries during winter, when some consumers cannot afford to properly heat their homes. Seventeen of 26 EU member states find the problem so prevalent that they even have energy poverty defined as an explicit concept in law.</w:t>
            </w:r>
          </w:p>
          <w:p>
            <w:pPr>
              <w:pStyle w:val="NoSpacing"/>
              <w:spacing w:lineRule="auto" w:line="240" w:before="0" w:after="0"/>
              <w:rPr>
                <w:rFonts w:ascii="Times New Roman" w:hAnsi="Times New Roman" w:cs="Arial"/>
                <w:sz w:val="28"/>
                <w:szCs w:val="28"/>
                <w:lang w:val="en-US"/>
              </w:rPr>
            </w:pPr>
            <w:r>
              <w:rPr>
                <w:rFonts w:cs="Arial" w:ascii="Times New Roman" w:hAnsi="Times New Roman"/>
                <w:sz w:val="28"/>
                <w:szCs w:val="28"/>
                <w:lang w:val="en-US"/>
              </w:rPr>
            </w:r>
          </w:p>
          <w:p>
            <w:pPr>
              <w:pStyle w:val="NoSpacing"/>
              <w:spacing w:lineRule="auto" w:line="240" w:before="0" w:after="0"/>
              <w:rPr>
                <w:rFonts w:ascii="Arial" w:hAnsi="Arial" w:cs="Arial"/>
                <w:lang w:val="en-US"/>
              </w:rPr>
            </w:pPr>
            <w:r>
              <w:rPr>
                <w:rFonts w:cs="Arial" w:ascii="Times New Roman" w:hAnsi="Times New Roman"/>
                <w:sz w:val="28"/>
                <w:szCs w:val="28"/>
                <w:lang w:val="en-US"/>
              </w:rPr>
              <w:t>The EU blames energy poverty on three factors: the effect of recessions on incomes (it references the 2008/09 recession though some EU states have been in a recessionary “funk” long past that year); energy-inefficient homes; and rising energy prices.</w:t>
            </w:r>
          </w:p>
          <w:p>
            <w:pPr>
              <w:pStyle w:val="NoSpacing"/>
              <w:spacing w:lineRule="auto" w:line="240" w:before="0" w:after="0"/>
              <w:rPr>
                <w:rFonts w:ascii="Times New Roman" w:hAnsi="Times New Roman" w:cs="Arial"/>
                <w:sz w:val="28"/>
                <w:szCs w:val="28"/>
                <w:lang w:val="en-US"/>
              </w:rPr>
            </w:pPr>
            <w:r>
              <w:rPr>
                <w:rFonts w:cs="Arial" w:ascii="Times New Roman" w:hAnsi="Times New Roman"/>
                <w:sz w:val="28"/>
                <w:szCs w:val="28"/>
                <w:lang w:val="en-US"/>
              </w:rPr>
            </w:r>
          </w:p>
          <w:p>
            <w:pPr>
              <w:pStyle w:val="NoSpacing"/>
              <w:spacing w:lineRule="auto" w:line="240" w:before="0" w:after="0"/>
              <w:rPr>
                <w:rFonts w:ascii="Arial" w:hAnsi="Arial" w:cs="Arial"/>
                <w:lang w:val="en-US"/>
              </w:rPr>
            </w:pPr>
            <w:r>
              <w:rPr>
                <w:rFonts w:cs="Arial" w:ascii="Times New Roman" w:hAnsi="Times New Roman"/>
                <w:sz w:val="28"/>
                <w:szCs w:val="28"/>
                <w:lang w:val="en-US"/>
              </w:rPr>
              <w:t>(</w:t>
            </w:r>
            <w:r>
              <w:rPr>
                <w:rFonts w:cs="Arial" w:ascii="Times New Roman" w:hAnsi="Times New Roman"/>
                <w:sz w:val="28"/>
                <w:szCs w:val="28"/>
              </w:rPr>
              <w:t>…</w:t>
            </w:r>
            <w:r>
              <w:rPr>
                <w:rFonts w:cs="Arial" w:ascii="Times New Roman" w:hAnsi="Times New Roman"/>
                <w:sz w:val="28"/>
                <w:szCs w:val="28"/>
                <w:lang w:val="en-US"/>
              </w:rPr>
              <w:t>)</w:t>
            </w:r>
          </w:p>
        </w:tc>
        <w:tc>
          <w:tcPr>
            <w:tcW w:w="4952" w:type="dxa"/>
            <w:tcBorders/>
            <w:shd w:fill="auto" w:val="clear"/>
            <w:tcMar>
              <w:left w:w="103" w:type="dxa"/>
            </w:tcMar>
          </w:tcPr>
          <w:p>
            <w:pPr>
              <w:pStyle w:val="Normal"/>
              <w:spacing w:lineRule="auto" w:line="240" w:before="0" w:after="0"/>
              <w:rPr>
                <w:lang w:val="ru-RU" w:eastAsia="zh-CN" w:bidi="ar-SA"/>
              </w:rPr>
            </w:pPr>
            <w:r>
              <w:rPr>
                <w:rFonts w:cs="Arial"/>
                <w:b/>
                <w:bCs/>
                <w:sz w:val="28"/>
                <w:szCs w:val="28"/>
                <w:lang w:val="ru-RU" w:eastAsia="zh-CN" w:bidi="ar-SA"/>
              </w:rPr>
              <w:t>КЛИМАТИЧЕСКАЯ ПОЛИТИКА</w:t>
            </w:r>
            <w:r>
              <w:rPr>
                <w:rFonts w:cs="Arial"/>
                <w:b/>
                <w:bCs/>
                <w:sz w:val="28"/>
                <w:szCs w:val="28"/>
                <w:lang w:val="ru-RU" w:eastAsia="zh-CN" w:bidi="ar-SA"/>
              </w:rPr>
              <w:t xml:space="preserve">  </w:t>
            </w:r>
            <w:r>
              <w:rPr>
                <w:rFonts w:cs="Arial"/>
                <w:b/>
                <w:bCs/>
                <w:sz w:val="28"/>
                <w:szCs w:val="28"/>
                <w:lang w:val="ru-RU" w:eastAsia="zh-CN" w:bidi="ar-SA"/>
              </w:rPr>
              <w:t>ПРИВЕЛА 54 МИЛЛИОНА ЕВРОПЕЙЦЕВ НА ГРАНЬ</w:t>
            </w:r>
            <w:r>
              <w:rPr>
                <w:rFonts w:cs="Arial"/>
                <w:b/>
                <w:bCs/>
                <w:sz w:val="28"/>
                <w:szCs w:val="28"/>
                <w:lang w:val="ru-RU" w:eastAsia="zh-CN" w:bidi="ar-SA"/>
              </w:rPr>
              <w:t xml:space="preserve"> "ЭНЕРГЕТИЧЕСКОЙ БЕДНОСТИ". СЛЕДУЮЩИЕ-КАНАДЦЫ</w:t>
            </w:r>
            <w:r>
              <w:rPr>
                <w:rFonts w:cs="Arial"/>
                <w:sz w:val="28"/>
                <w:szCs w:val="28"/>
                <w:lang w:val="ru-RU" w:eastAsia="zh-CN" w:bidi="ar-SA"/>
              </w:rPr>
              <w:br/>
              <w:br/>
            </w:r>
            <w:r>
              <w:rPr>
                <w:rFonts w:cs="Arial"/>
                <w:i/>
                <w:iCs/>
                <w:sz w:val="28"/>
                <w:szCs w:val="28"/>
                <w:lang w:val="ru-RU" w:eastAsia="zh-CN" w:bidi="ar-SA"/>
              </w:rPr>
              <w:t>По данным Европейск</w:t>
            </w:r>
            <w:r>
              <w:rPr>
                <w:rFonts w:cs="Arial"/>
                <w:i/>
                <w:iCs/>
                <w:sz w:val="28"/>
                <w:szCs w:val="28"/>
                <w:lang w:val="ru-RU" w:eastAsia="zh-CN" w:bidi="ar-SA"/>
              </w:rPr>
              <w:t xml:space="preserve">ого </w:t>
            </w:r>
            <w:r>
              <w:rPr>
                <w:rFonts w:cs="Arial"/>
                <w:i/>
                <w:iCs/>
                <w:sz w:val="28"/>
                <w:szCs w:val="28"/>
                <w:lang w:val="ru-RU" w:eastAsia="zh-CN" w:bidi="ar-SA"/>
              </w:rPr>
              <w:t>союз</w:t>
            </w:r>
            <w:r>
              <w:rPr>
                <w:rFonts w:cs="Arial"/>
                <w:i/>
                <w:iCs/>
                <w:sz w:val="28"/>
                <w:szCs w:val="28"/>
                <w:lang w:val="ru-RU" w:eastAsia="zh-CN" w:bidi="ar-SA"/>
              </w:rPr>
              <w:t>а</w:t>
            </w:r>
            <w:r>
              <w:rPr>
                <w:rFonts w:cs="Arial"/>
                <w:i/>
                <w:iCs/>
                <w:sz w:val="28"/>
                <w:szCs w:val="28"/>
                <w:lang w:val="ru-RU" w:eastAsia="zh-CN" w:bidi="ar-SA"/>
              </w:rPr>
              <w:t xml:space="preserve">, 54 миллиона человек </w:t>
            </w:r>
            <w:r>
              <w:rPr>
                <w:rFonts w:cs="Arial"/>
                <w:i/>
                <w:iCs/>
                <w:sz w:val="28"/>
                <w:szCs w:val="28"/>
                <w:lang w:val="ru-RU" w:eastAsia="zh-CN" w:bidi="ar-SA"/>
              </w:rPr>
              <w:t>не могут оплатить счета за электроэнергию</w:t>
            </w:r>
            <w:r>
              <w:rPr>
                <w:rFonts w:cs="Arial"/>
                <w:sz w:val="28"/>
                <w:szCs w:val="28"/>
                <w:lang w:val="ru-RU" w:eastAsia="zh-CN" w:bidi="ar-SA"/>
              </w:rPr>
              <w:br/>
              <w:br/>
            </w:r>
            <w:r>
              <w:rPr>
                <w:rFonts w:cs="Arial"/>
                <w:sz w:val="28"/>
                <w:szCs w:val="28"/>
                <w:lang w:val="ru-RU" w:eastAsia="zh-CN" w:bidi="ar-SA"/>
              </w:rPr>
              <w:t>Жи</w:t>
            </w:r>
            <w:r>
              <w:rPr>
                <w:rFonts w:cs="Arial"/>
                <w:sz w:val="28"/>
                <w:szCs w:val="28"/>
                <w:lang w:val="ru-RU" w:eastAsia="zh-CN" w:bidi="ar-SA"/>
              </w:rPr>
              <w:t>тели</w:t>
            </w:r>
            <w:r>
              <w:rPr>
                <w:rFonts w:cs="Arial"/>
                <w:sz w:val="28"/>
                <w:szCs w:val="28"/>
                <w:lang w:val="ru-RU" w:eastAsia="zh-CN" w:bidi="ar-SA"/>
              </w:rPr>
              <w:t xml:space="preserve"> Европ</w:t>
            </w:r>
            <w:r>
              <w:rPr>
                <w:rFonts w:cs="Arial"/>
                <w:sz w:val="28"/>
                <w:szCs w:val="28"/>
                <w:lang w:val="ru-RU" w:eastAsia="zh-CN" w:bidi="ar-SA"/>
              </w:rPr>
              <w:t xml:space="preserve">ы </w:t>
            </w:r>
            <w:r>
              <w:rPr>
                <w:rFonts w:cs="Arial"/>
                <w:sz w:val="28"/>
                <w:szCs w:val="28"/>
                <w:lang w:val="ru-RU" w:eastAsia="zh-CN" w:bidi="ar-SA"/>
              </w:rPr>
              <w:t xml:space="preserve">уже давно вынуждены платить </w:t>
            </w:r>
            <w:r>
              <w:rPr>
                <w:rFonts w:cs="Arial"/>
                <w:sz w:val="28"/>
                <w:szCs w:val="28"/>
                <w:lang w:val="ru-RU" w:eastAsia="zh-CN" w:bidi="ar-SA"/>
              </w:rPr>
              <w:t>непомер</w:t>
            </w:r>
            <w:r>
              <w:rPr>
                <w:rFonts w:cs="Arial"/>
                <w:sz w:val="28"/>
                <w:szCs w:val="28"/>
                <w:lang w:val="ru-RU" w:eastAsia="zh-CN" w:bidi="ar-SA"/>
              </w:rPr>
              <w:t>но большие</w:t>
            </w:r>
            <w:r>
              <w:rPr>
                <w:rFonts w:cs="Arial"/>
                <w:sz w:val="28"/>
                <w:szCs w:val="28"/>
                <w:lang w:val="ru-RU" w:eastAsia="zh-CN" w:bidi="ar-SA"/>
              </w:rPr>
              <w:t xml:space="preserve"> суммы </w:t>
            </w:r>
            <w:r>
              <w:rPr>
                <w:rFonts w:cs="Arial"/>
                <w:sz w:val="28"/>
                <w:szCs w:val="28"/>
                <w:lang w:val="ru-RU" w:eastAsia="zh-CN" w:bidi="ar-SA"/>
              </w:rPr>
              <w:t xml:space="preserve">за коммунальные услуги, </w:t>
            </w:r>
            <w:r>
              <w:rPr>
                <w:rFonts w:cs="Arial"/>
                <w:sz w:val="28"/>
                <w:szCs w:val="28"/>
                <w:lang w:val="ru-RU" w:eastAsia="zh-CN" w:bidi="ar-SA"/>
              </w:rPr>
              <w:t>в том числе за</w:t>
            </w:r>
            <w:r>
              <w:rPr>
                <w:rFonts w:cs="Arial"/>
                <w:sz w:val="28"/>
                <w:szCs w:val="28"/>
                <w:lang w:val="ru-RU" w:eastAsia="zh-CN" w:bidi="ar-SA"/>
              </w:rPr>
              <w:t xml:space="preserve"> </w:t>
            </w:r>
            <w:r>
              <w:rPr>
                <w:rFonts w:cs="Arial"/>
                <w:sz w:val="28"/>
                <w:szCs w:val="28"/>
                <w:lang w:val="ru-RU" w:eastAsia="zh-CN" w:bidi="ar-SA"/>
              </w:rPr>
              <w:t>электроэнергию</w:t>
            </w:r>
            <w:r>
              <w:rPr>
                <w:rFonts w:cs="Arial"/>
                <w:sz w:val="28"/>
                <w:szCs w:val="28"/>
                <w:lang w:val="ru-RU" w:eastAsia="zh-CN" w:bidi="ar-SA"/>
              </w:rPr>
              <w:t xml:space="preserve">. </w:t>
            </w:r>
            <w:r>
              <w:rPr>
                <w:rFonts w:cs="Arial"/>
                <w:sz w:val="28"/>
                <w:szCs w:val="28"/>
                <w:lang w:val="ru-RU" w:eastAsia="zh-CN" w:bidi="ar-SA"/>
              </w:rPr>
              <w:t>Такая ситуация и</w:t>
            </w:r>
            <w:r>
              <w:rPr>
                <w:rFonts w:cs="Arial"/>
                <w:sz w:val="28"/>
                <w:szCs w:val="28"/>
                <w:lang w:val="ru-RU" w:eastAsia="zh-CN" w:bidi="ar-SA"/>
              </w:rPr>
              <w:t xml:space="preserve"> привел</w:t>
            </w:r>
            <w:r>
              <w:rPr>
                <w:rFonts w:cs="Arial"/>
                <w:sz w:val="28"/>
                <w:szCs w:val="28"/>
                <w:lang w:val="ru-RU" w:eastAsia="zh-CN" w:bidi="ar-SA"/>
              </w:rPr>
              <w:t xml:space="preserve">а </w:t>
            </w:r>
            <w:r>
              <w:rPr>
                <w:rFonts w:cs="Arial"/>
                <w:sz w:val="28"/>
                <w:szCs w:val="28"/>
                <w:lang w:val="ru-RU" w:eastAsia="zh-CN" w:bidi="ar-SA"/>
              </w:rPr>
              <w:t>к</w:t>
            </w:r>
            <w:r>
              <w:rPr>
                <w:rFonts w:cs="Arial"/>
                <w:sz w:val="28"/>
                <w:szCs w:val="28"/>
                <w:lang w:val="ru-RU" w:eastAsia="zh-CN" w:bidi="ar-SA"/>
              </w:rPr>
              <w:t xml:space="preserve"> так называемой</w:t>
            </w:r>
            <w:r>
              <w:rPr>
                <w:rFonts w:cs="Arial"/>
                <w:sz w:val="28"/>
                <w:szCs w:val="28"/>
                <w:lang w:val="ru-RU" w:eastAsia="zh-CN" w:bidi="ar-SA"/>
              </w:rPr>
              <w:t xml:space="preserve"> «энергетическ</w:t>
            </w:r>
            <w:r>
              <w:rPr>
                <w:rFonts w:cs="Arial"/>
                <w:sz w:val="28"/>
                <w:szCs w:val="28"/>
                <w:lang w:val="ru-RU" w:eastAsia="zh-CN" w:bidi="ar-SA"/>
              </w:rPr>
              <w:t>ой</w:t>
            </w:r>
            <w:r>
              <w:rPr>
                <w:rFonts w:cs="Arial"/>
                <w:sz w:val="28"/>
                <w:szCs w:val="28"/>
                <w:lang w:val="ru-RU" w:eastAsia="zh-CN" w:bidi="ar-SA"/>
              </w:rPr>
              <w:t xml:space="preserve"> нищет</w:t>
            </w:r>
            <w:r>
              <w:rPr>
                <w:rFonts w:cs="Arial"/>
                <w:sz w:val="28"/>
                <w:szCs w:val="28"/>
                <w:lang w:val="ru-RU" w:eastAsia="zh-CN" w:bidi="ar-SA"/>
              </w:rPr>
              <w:t>е»</w:t>
            </w:r>
            <w:r>
              <w:rPr>
                <w:rFonts w:cs="Arial"/>
                <w:sz w:val="28"/>
                <w:szCs w:val="28"/>
                <w:lang w:val="ru-RU" w:eastAsia="zh-CN" w:bidi="ar-SA"/>
              </w:rPr>
              <w:t xml:space="preserve">. Многие не в состоянии </w:t>
            </w:r>
            <w:r>
              <w:rPr>
                <w:rFonts w:cs="Arial"/>
                <w:sz w:val="28"/>
                <w:szCs w:val="28"/>
                <w:lang w:val="ru-RU" w:eastAsia="zh-CN" w:bidi="ar-SA"/>
              </w:rPr>
              <w:t>платить по</w:t>
            </w:r>
            <w:r>
              <w:rPr>
                <w:rFonts w:cs="Arial"/>
                <w:sz w:val="28"/>
                <w:szCs w:val="28"/>
                <w:lang w:val="ru-RU" w:eastAsia="zh-CN" w:bidi="ar-SA"/>
              </w:rPr>
              <w:t xml:space="preserve"> счета</w:t>
            </w:r>
            <w:r>
              <w:rPr>
                <w:rFonts w:cs="Arial"/>
                <w:sz w:val="28"/>
                <w:szCs w:val="28"/>
                <w:lang w:val="ru-RU" w:eastAsia="zh-CN" w:bidi="ar-SA"/>
              </w:rPr>
              <w:t>м</w:t>
            </w:r>
            <w:r>
              <w:rPr>
                <w:rFonts w:cs="Arial"/>
                <w:sz w:val="28"/>
                <w:szCs w:val="28"/>
                <w:lang w:val="ru-RU" w:eastAsia="zh-CN" w:bidi="ar-SA"/>
              </w:rPr>
              <w:t xml:space="preserve">, </w:t>
            </w:r>
            <w:r>
              <w:rPr>
                <w:rFonts w:cs="Arial"/>
                <w:sz w:val="28"/>
                <w:szCs w:val="28"/>
                <w:lang w:val="ru-RU" w:eastAsia="zh-CN" w:bidi="ar-SA"/>
              </w:rPr>
              <w:t>в частности</w:t>
            </w:r>
            <w:r>
              <w:rPr>
                <w:rFonts w:cs="Arial"/>
                <w:sz w:val="28"/>
                <w:szCs w:val="28"/>
                <w:lang w:val="ru-RU" w:eastAsia="zh-CN" w:bidi="ar-SA"/>
              </w:rPr>
              <w:t xml:space="preserve"> зимой, но </w:t>
            </w:r>
            <w:r>
              <w:rPr>
                <w:rFonts w:cs="Arial"/>
                <w:sz w:val="28"/>
                <w:szCs w:val="28"/>
                <w:lang w:val="ru-RU" w:eastAsia="zh-CN" w:bidi="ar-SA"/>
              </w:rPr>
              <w:t xml:space="preserve">также </w:t>
            </w:r>
            <w:r>
              <w:rPr>
                <w:rFonts w:cs="Arial"/>
                <w:sz w:val="28"/>
                <w:szCs w:val="28"/>
                <w:lang w:val="ru-RU" w:eastAsia="zh-CN" w:bidi="ar-SA"/>
              </w:rPr>
              <w:t>и</w:t>
            </w:r>
            <w:r>
              <w:rPr>
                <w:rFonts w:cs="Arial"/>
                <w:sz w:val="28"/>
                <w:szCs w:val="28"/>
                <w:lang w:val="ru-RU" w:eastAsia="zh-CN" w:bidi="ar-SA"/>
              </w:rPr>
              <w:t xml:space="preserve"> летом, в</w:t>
            </w:r>
            <w:r>
              <w:rPr>
                <w:rFonts w:cs="Arial"/>
                <w:sz w:val="28"/>
                <w:szCs w:val="28"/>
                <w:lang w:val="ru-RU" w:eastAsia="zh-CN" w:bidi="ar-SA"/>
              </w:rPr>
              <w:t xml:space="preserve"> периоды аномальной жары.</w:t>
            </w:r>
          </w:p>
          <w:p>
            <w:pPr>
              <w:pStyle w:val="Normal"/>
              <w:spacing w:lineRule="auto" w:line="240" w:before="0" w:after="0"/>
              <w:rPr>
                <w:rFonts w:ascii="Times New Roman" w:hAnsi="Times New Roman" w:cs="Arial"/>
                <w:sz w:val="28"/>
                <w:szCs w:val="28"/>
              </w:rPr>
            </w:pPr>
            <w:r>
              <w:rPr>
                <w:lang w:val="ru-RU" w:eastAsia="zh-CN" w:bidi="ar-SA"/>
              </w:rPr>
            </w:r>
          </w:p>
          <w:p>
            <w:pPr>
              <w:pStyle w:val="Normal"/>
              <w:spacing w:lineRule="auto" w:line="240" w:before="0" w:after="0"/>
              <w:rPr>
                <w:lang w:val="ru-RU" w:eastAsia="zh-CN" w:bidi="ar-SA"/>
              </w:rPr>
            </w:pPr>
            <w:r>
              <w:rPr>
                <w:rFonts w:cs="Arial"/>
                <w:sz w:val="28"/>
                <w:szCs w:val="28"/>
                <w:lang w:val="ru-RU" w:eastAsia="zh-CN" w:bidi="ar-SA"/>
              </w:rPr>
              <w:t>Данная</w:t>
            </w:r>
            <w:r>
              <w:rPr>
                <w:rFonts w:cs="Arial"/>
                <w:sz w:val="28"/>
                <w:szCs w:val="28"/>
                <w:lang w:val="ru-RU" w:eastAsia="zh-CN" w:bidi="ar-SA"/>
              </w:rPr>
              <w:t xml:space="preserve"> проблем</w:t>
            </w:r>
            <w:r>
              <w:rPr>
                <w:rFonts w:cs="Arial"/>
                <w:sz w:val="28"/>
                <w:szCs w:val="28"/>
                <w:lang w:val="ru-RU" w:eastAsia="zh-CN" w:bidi="ar-SA"/>
              </w:rPr>
              <w:t>а затронула очень многих</w:t>
            </w:r>
            <w:r>
              <w:rPr>
                <w:rFonts w:cs="Arial"/>
                <w:sz w:val="28"/>
                <w:szCs w:val="28"/>
                <w:lang w:val="ru-RU" w:eastAsia="zh-CN" w:bidi="ar-SA"/>
              </w:rPr>
              <w:t xml:space="preserve">. </w:t>
            </w:r>
            <w:r>
              <w:rPr>
                <w:rFonts w:cs="Arial"/>
                <w:sz w:val="28"/>
                <w:szCs w:val="28"/>
                <w:lang w:val="ru-RU" w:eastAsia="zh-CN" w:bidi="ar-SA"/>
              </w:rPr>
              <w:t>По данным</w:t>
            </w:r>
            <w:r>
              <w:rPr>
                <w:rFonts w:cs="Arial"/>
                <w:sz w:val="28"/>
                <w:szCs w:val="28"/>
                <w:lang w:val="ru-RU" w:eastAsia="zh-CN" w:bidi="ar-SA"/>
              </w:rPr>
              <w:t xml:space="preserve"> Европейского союза о росте расходов на </w:t>
            </w:r>
            <w:r>
              <w:rPr>
                <w:rFonts w:cs="Arial"/>
                <w:sz w:val="28"/>
                <w:szCs w:val="28"/>
                <w:lang w:val="ru-RU" w:eastAsia="zh-CN" w:bidi="ar-SA"/>
              </w:rPr>
              <w:t>электроэнергию</w:t>
            </w:r>
            <w:r>
              <w:rPr>
                <w:rFonts w:cs="Arial"/>
                <w:sz w:val="28"/>
                <w:szCs w:val="28"/>
                <w:lang w:val="ru-RU" w:eastAsia="zh-CN" w:bidi="ar-SA"/>
              </w:rPr>
              <w:t xml:space="preserve"> за 2015 год, 11% населения </w:t>
            </w:r>
            <w:r>
              <w:rPr>
                <w:rFonts w:cs="Arial"/>
                <w:sz w:val="28"/>
                <w:szCs w:val="28"/>
                <w:lang w:val="ru-RU" w:eastAsia="zh-CN" w:bidi="ar-SA"/>
              </w:rPr>
              <w:t>стран-</w:t>
            </w:r>
            <w:r>
              <w:rPr>
                <w:rFonts w:cs="Arial"/>
                <w:sz w:val="28"/>
                <w:szCs w:val="28"/>
                <w:lang w:val="ru-RU" w:eastAsia="zh-CN" w:bidi="ar-SA"/>
              </w:rPr>
              <w:t xml:space="preserve">членов, </w:t>
            </w:r>
            <w:r>
              <w:rPr>
                <w:rFonts w:cs="Arial"/>
                <w:sz w:val="28"/>
                <w:szCs w:val="28"/>
                <w:lang w:val="ru-RU" w:eastAsia="zh-CN" w:bidi="ar-SA"/>
              </w:rPr>
              <w:t>что составляет</w:t>
            </w:r>
            <w:r>
              <w:rPr>
                <w:rFonts w:cs="Arial"/>
                <w:sz w:val="28"/>
                <w:szCs w:val="28"/>
                <w:lang w:val="ru-RU" w:eastAsia="zh-CN" w:bidi="ar-SA"/>
              </w:rPr>
              <w:t xml:space="preserve"> 54 миллиона человек</w:t>
            </w:r>
            <w:r>
              <w:rPr>
                <w:rFonts w:cs="Arial"/>
                <w:sz w:val="28"/>
                <w:szCs w:val="28"/>
                <w:lang w:val="ru-RU" w:eastAsia="zh-CN" w:bidi="ar-SA"/>
              </w:rPr>
              <w:t xml:space="preserve">, </w:t>
            </w:r>
            <w:r>
              <w:rPr>
                <w:rFonts w:cs="Arial"/>
                <w:sz w:val="28"/>
                <w:szCs w:val="28"/>
                <w:lang w:val="ru-RU" w:eastAsia="zh-CN" w:bidi="ar-SA"/>
              </w:rPr>
              <w:t xml:space="preserve">уже не могут </w:t>
            </w:r>
            <w:r>
              <w:rPr>
                <w:rFonts w:cs="Arial"/>
                <w:sz w:val="28"/>
                <w:szCs w:val="28"/>
                <w:lang w:val="ru-RU" w:eastAsia="zh-CN" w:bidi="ar-SA"/>
              </w:rPr>
              <w:t>оплатить</w:t>
            </w:r>
            <w:r>
              <w:rPr>
                <w:rFonts w:cs="Arial"/>
                <w:sz w:val="28"/>
                <w:szCs w:val="28"/>
                <w:lang w:val="ru-RU" w:eastAsia="zh-CN" w:bidi="ar-SA"/>
              </w:rPr>
              <w:t xml:space="preserve"> свои счета. </w:t>
            </w:r>
            <w:r>
              <w:rPr>
                <w:rFonts w:cs="Arial"/>
                <w:sz w:val="28"/>
                <w:szCs w:val="28"/>
                <w:lang w:val="ru-RU" w:eastAsia="zh-CN" w:bidi="ar-SA"/>
              </w:rPr>
              <w:t>По мнению Европейского союза,</w:t>
            </w:r>
            <w:r>
              <w:rPr>
                <w:rFonts w:cs="Arial"/>
                <w:sz w:val="28"/>
                <w:szCs w:val="28"/>
                <w:lang w:val="ru-RU" w:eastAsia="zh-CN" w:bidi="ar-SA"/>
              </w:rPr>
              <w:t xml:space="preserve"> четверть жителей </w:t>
            </w:r>
            <w:r>
              <w:rPr>
                <w:rFonts w:cs="Arial"/>
                <w:sz w:val="28"/>
                <w:szCs w:val="28"/>
                <w:lang w:val="ru-RU" w:eastAsia="zh-CN" w:bidi="ar-SA"/>
              </w:rPr>
              <w:t>стран-</w:t>
            </w:r>
            <w:r>
              <w:rPr>
                <w:rFonts w:cs="Arial"/>
                <w:sz w:val="28"/>
                <w:szCs w:val="28"/>
                <w:lang w:val="ru-RU" w:eastAsia="zh-CN" w:bidi="ar-SA"/>
              </w:rPr>
              <w:t xml:space="preserve">членов, </w:t>
            </w:r>
            <w:r>
              <w:rPr>
                <w:rFonts w:cs="Arial"/>
                <w:sz w:val="28"/>
                <w:szCs w:val="28"/>
                <w:lang w:val="ru-RU" w:eastAsia="zh-CN" w:bidi="ar-SA"/>
              </w:rPr>
              <w:t>то есть</w:t>
            </w:r>
            <w:r>
              <w:rPr>
                <w:rFonts w:cs="Arial"/>
                <w:sz w:val="28"/>
                <w:szCs w:val="28"/>
                <w:lang w:val="ru-RU" w:eastAsia="zh-CN" w:bidi="ar-SA"/>
              </w:rPr>
              <w:t xml:space="preserve"> 128 миллионов человек </w:t>
            </w:r>
            <w:r>
              <w:rPr>
                <w:rFonts w:cs="Arial"/>
                <w:sz w:val="28"/>
                <w:szCs w:val="28"/>
                <w:lang w:val="ru-RU" w:eastAsia="zh-CN" w:bidi="ar-SA"/>
              </w:rPr>
              <w:t xml:space="preserve">(сюда входят и упомянутые </w:t>
            </w:r>
            <w:r>
              <w:rPr>
                <w:rFonts w:cs="Arial"/>
                <w:sz w:val="28"/>
                <w:szCs w:val="28"/>
                <w:lang w:val="ru-RU" w:eastAsia="zh-CN" w:bidi="ar-SA"/>
              </w:rPr>
              <w:t xml:space="preserve">54 миллиона), рискуют оказаться </w:t>
            </w:r>
            <w:r>
              <w:rPr>
                <w:rFonts w:cs="Arial"/>
                <w:sz w:val="28"/>
                <w:szCs w:val="28"/>
                <w:lang w:val="ru-RU" w:eastAsia="zh-CN" w:bidi="ar-SA"/>
              </w:rPr>
              <w:t>на грани энергетической бедности</w:t>
            </w:r>
            <w:r>
              <w:rPr>
                <w:rFonts w:cs="Arial"/>
                <w:sz w:val="28"/>
                <w:szCs w:val="28"/>
                <w:lang w:val="ru-RU" w:eastAsia="zh-CN" w:bidi="ar-SA"/>
              </w:rPr>
              <w:t>.</w:t>
              <w:br/>
              <w:br/>
            </w:r>
            <w:r>
              <w:rPr>
                <w:rFonts w:cs="Arial"/>
                <w:sz w:val="28"/>
                <w:szCs w:val="28"/>
                <w:lang w:val="ru-RU" w:eastAsia="zh-CN" w:bidi="ar-SA"/>
              </w:rPr>
              <w:t>К примеру</w:t>
            </w:r>
            <w:r>
              <w:rPr>
                <w:rFonts w:cs="Arial"/>
                <w:sz w:val="28"/>
                <w:szCs w:val="28"/>
                <w:lang w:val="ru-RU" w:eastAsia="zh-CN" w:bidi="ar-SA"/>
              </w:rPr>
              <w:t xml:space="preserve">, энергетическая бедность </w:t>
            </w:r>
            <w:r>
              <w:rPr>
                <w:rFonts w:cs="Arial"/>
                <w:sz w:val="28"/>
                <w:szCs w:val="28"/>
                <w:lang w:val="ru-RU" w:eastAsia="zh-CN" w:bidi="ar-SA"/>
              </w:rPr>
              <w:t>в</w:t>
            </w:r>
            <w:r>
              <w:rPr>
                <w:rFonts w:cs="Arial"/>
                <w:sz w:val="28"/>
                <w:szCs w:val="28"/>
                <w:lang w:val="ru-RU" w:eastAsia="zh-CN" w:bidi="ar-SA"/>
              </w:rPr>
              <w:t xml:space="preserve"> Румынии </w:t>
            </w:r>
            <w:r>
              <w:rPr>
                <w:rFonts w:cs="Arial"/>
                <w:sz w:val="28"/>
                <w:szCs w:val="28"/>
                <w:lang w:val="ru-RU" w:eastAsia="zh-CN" w:bidi="ar-SA"/>
              </w:rPr>
              <w:t>затронула</w:t>
            </w:r>
            <w:r>
              <w:rPr>
                <w:rFonts w:cs="Arial"/>
                <w:sz w:val="28"/>
                <w:szCs w:val="28"/>
                <w:lang w:val="ru-RU" w:eastAsia="zh-CN" w:bidi="ar-SA"/>
              </w:rPr>
              <w:t xml:space="preserve"> от 40 до 50% населения. В Испании, Португалии, Эстонии, Бельгии, Мальте, Словакии, Италии, Ирландии и даже Соединенном Королевстве - от 20 до 30% населения.</w:t>
              <w:br/>
              <w:br/>
              <w:t xml:space="preserve">Такие показатели энергетической бедности </w:t>
            </w:r>
            <w:r>
              <w:rPr>
                <w:rFonts w:cs="Arial"/>
                <w:sz w:val="28"/>
                <w:szCs w:val="28"/>
                <w:lang w:val="ru-RU" w:eastAsia="zh-CN" w:bidi="ar-SA"/>
              </w:rPr>
              <w:t>стали причиной того</w:t>
            </w:r>
            <w:r>
              <w:rPr>
                <w:rFonts w:cs="Arial"/>
                <w:sz w:val="28"/>
                <w:szCs w:val="28"/>
                <w:lang w:val="ru-RU" w:eastAsia="zh-CN" w:bidi="ar-SA"/>
              </w:rPr>
              <w:t xml:space="preserve">, что </w:t>
            </w:r>
            <w:r>
              <w:rPr>
                <w:rFonts w:cs="Arial"/>
                <w:sz w:val="28"/>
                <w:szCs w:val="28"/>
                <w:lang w:val="ru-RU" w:eastAsia="zh-CN" w:bidi="ar-SA"/>
              </w:rPr>
              <w:t>в Европейском</w:t>
            </w:r>
            <w:r>
              <w:rPr>
                <w:rFonts w:cs="Arial"/>
                <w:sz w:val="28"/>
                <w:szCs w:val="28"/>
                <w:lang w:val="ru-RU" w:eastAsia="zh-CN" w:bidi="ar-SA"/>
              </w:rPr>
              <w:t xml:space="preserve"> </w:t>
            </w:r>
            <w:r>
              <w:rPr>
                <w:rFonts w:cs="Arial"/>
                <w:sz w:val="28"/>
                <w:szCs w:val="28"/>
                <w:lang w:val="ru-RU" w:eastAsia="zh-CN" w:bidi="ar-SA"/>
              </w:rPr>
              <w:t xml:space="preserve">Союзе </w:t>
            </w:r>
            <w:r>
              <w:rPr>
                <w:rFonts w:cs="Arial"/>
                <w:sz w:val="28"/>
                <w:szCs w:val="28"/>
                <w:lang w:val="ru-RU" w:eastAsia="zh-CN" w:bidi="ar-SA"/>
              </w:rPr>
              <w:t>называ</w:t>
            </w:r>
            <w:r>
              <w:rPr>
                <w:rFonts w:cs="Arial"/>
                <w:sz w:val="28"/>
                <w:szCs w:val="28"/>
                <w:lang w:val="ru-RU" w:eastAsia="zh-CN" w:bidi="ar-SA"/>
              </w:rPr>
              <w:t>ю</w:t>
            </w:r>
            <w:r>
              <w:rPr>
                <w:rFonts w:cs="Arial"/>
                <w:sz w:val="28"/>
                <w:szCs w:val="28"/>
                <w:lang w:val="ru-RU" w:eastAsia="zh-CN" w:bidi="ar-SA"/>
              </w:rPr>
              <w:t>т “</w:t>
            </w:r>
            <w:r>
              <w:rPr>
                <w:rFonts w:cs="Arial"/>
                <w:sz w:val="28"/>
                <w:szCs w:val="28"/>
                <w:lang w:val="ru-RU" w:eastAsia="zh-CN" w:bidi="ar-SA"/>
              </w:rPr>
              <w:t xml:space="preserve">показателями </w:t>
            </w:r>
            <w:r>
              <w:rPr>
                <w:rFonts w:cs="Arial"/>
                <w:sz w:val="28"/>
                <w:szCs w:val="28"/>
                <w:lang w:val="ru-RU" w:eastAsia="zh-CN" w:bidi="ar-SA"/>
              </w:rPr>
              <w:t>чрезмерной смертност</w:t>
            </w:r>
            <w:r>
              <w:rPr>
                <w:rFonts w:cs="Arial"/>
                <w:sz w:val="28"/>
                <w:szCs w:val="28"/>
                <w:lang w:val="ru-RU" w:eastAsia="zh-CN" w:bidi="ar-SA"/>
              </w:rPr>
              <w:t>и</w:t>
            </w:r>
            <w:r>
              <w:rPr>
                <w:rFonts w:cs="Arial"/>
                <w:sz w:val="28"/>
                <w:szCs w:val="28"/>
                <w:lang w:val="ru-RU" w:eastAsia="zh-CN" w:bidi="ar-SA"/>
              </w:rPr>
              <w:t xml:space="preserve">”, </w:t>
            </w:r>
            <w:r>
              <w:rPr>
                <w:rFonts w:cs="Arial"/>
                <w:sz w:val="28"/>
                <w:szCs w:val="28"/>
                <w:lang w:val="ru-RU" w:eastAsia="zh-CN" w:bidi="ar-SA"/>
              </w:rPr>
              <w:t>когда в зимний период</w:t>
            </w:r>
            <w:r>
              <w:rPr>
                <w:rFonts w:cs="Arial"/>
                <w:sz w:val="28"/>
                <w:szCs w:val="28"/>
                <w:lang w:val="ru-RU" w:eastAsia="zh-CN" w:bidi="ar-SA"/>
              </w:rPr>
              <w:t xml:space="preserve"> в </w:t>
            </w:r>
            <w:r>
              <w:rPr>
                <w:rFonts w:cs="Arial"/>
                <w:sz w:val="28"/>
                <w:szCs w:val="28"/>
                <w:lang w:val="ru-RU" w:eastAsia="zh-CN" w:bidi="ar-SA"/>
              </w:rPr>
              <w:t>ряде</w:t>
            </w:r>
            <w:r>
              <w:rPr>
                <w:rFonts w:cs="Arial"/>
                <w:sz w:val="28"/>
                <w:szCs w:val="28"/>
                <w:lang w:val="ru-RU" w:eastAsia="zh-CN" w:bidi="ar-SA"/>
              </w:rPr>
              <w:t xml:space="preserve"> стра</w:t>
            </w:r>
            <w:r>
              <w:rPr>
                <w:rFonts w:cs="Arial"/>
                <w:sz w:val="28"/>
                <w:szCs w:val="28"/>
                <w:lang w:val="ru-RU" w:eastAsia="zh-CN" w:bidi="ar-SA"/>
              </w:rPr>
              <w:t>н люди</w:t>
            </w:r>
            <w:r>
              <w:rPr>
                <w:rFonts w:cs="Arial"/>
                <w:sz w:val="28"/>
                <w:szCs w:val="28"/>
                <w:lang w:val="ru-RU" w:eastAsia="zh-CN" w:bidi="ar-SA"/>
              </w:rPr>
              <w:t xml:space="preserve"> не могут позволить себе обогревать свои дома должным образом. </w:t>
            </w:r>
            <w:r>
              <w:rPr>
                <w:rFonts w:cs="Arial"/>
                <w:sz w:val="28"/>
                <w:szCs w:val="28"/>
                <w:lang w:val="ru-RU" w:eastAsia="zh-CN" w:bidi="ar-SA"/>
              </w:rPr>
              <w:t>17</w:t>
            </w:r>
            <w:r>
              <w:rPr>
                <w:rFonts w:cs="Arial"/>
                <w:sz w:val="28"/>
                <w:szCs w:val="28"/>
                <w:lang w:val="ru-RU" w:eastAsia="zh-CN" w:bidi="ar-SA"/>
              </w:rPr>
              <w:t xml:space="preserve"> из 26 государств-членов </w:t>
            </w:r>
            <w:r>
              <w:rPr>
                <w:rFonts w:cs="Arial"/>
                <w:sz w:val="28"/>
                <w:szCs w:val="28"/>
                <w:lang w:val="ru-RU" w:eastAsia="zh-CN" w:bidi="ar-SA"/>
              </w:rPr>
              <w:t>Европейско</w:t>
            </w:r>
            <w:r>
              <w:rPr>
                <w:rFonts w:cs="Arial"/>
                <w:sz w:val="28"/>
                <w:szCs w:val="28"/>
                <w:lang w:val="ru-RU" w:eastAsia="zh-CN" w:bidi="ar-SA"/>
              </w:rPr>
              <w:t>го</w:t>
            </w:r>
            <w:r>
              <w:rPr>
                <w:rFonts w:cs="Arial"/>
                <w:sz w:val="28"/>
                <w:szCs w:val="28"/>
                <w:lang w:val="ru-RU" w:eastAsia="zh-CN" w:bidi="ar-SA"/>
              </w:rPr>
              <w:t xml:space="preserve"> </w:t>
            </w:r>
            <w:r>
              <w:rPr>
                <w:rFonts w:cs="Arial"/>
                <w:sz w:val="28"/>
                <w:szCs w:val="28"/>
                <w:lang w:val="ru-RU" w:eastAsia="zh-CN" w:bidi="ar-SA"/>
              </w:rPr>
              <w:t>Союз</w:t>
            </w:r>
            <w:r>
              <w:rPr>
                <w:rFonts w:cs="Arial"/>
                <w:sz w:val="28"/>
                <w:szCs w:val="28"/>
                <w:lang w:val="ru-RU" w:eastAsia="zh-CN" w:bidi="ar-SA"/>
              </w:rPr>
              <w:t>а сочли</w:t>
            </w:r>
            <w:r>
              <w:rPr>
                <w:rFonts w:cs="Arial"/>
                <w:sz w:val="28"/>
                <w:szCs w:val="28"/>
                <w:lang w:val="ru-RU" w:eastAsia="zh-CN" w:bidi="ar-SA"/>
              </w:rPr>
              <w:t xml:space="preserve">, что эта проблема настолько </w:t>
            </w:r>
            <w:r>
              <w:rPr>
                <w:rFonts w:cs="Arial"/>
                <w:sz w:val="28"/>
                <w:szCs w:val="28"/>
                <w:lang w:val="ru-RU" w:eastAsia="zh-CN" w:bidi="ar-SA"/>
              </w:rPr>
              <w:t>актуальна и распространена</w:t>
            </w:r>
            <w:r>
              <w:rPr>
                <w:rFonts w:cs="Arial"/>
                <w:sz w:val="28"/>
                <w:szCs w:val="28"/>
                <w:lang w:val="ru-RU" w:eastAsia="zh-CN" w:bidi="ar-SA"/>
              </w:rPr>
              <w:t xml:space="preserve">, что </w:t>
            </w:r>
            <w:r>
              <w:rPr>
                <w:rFonts w:cs="Arial"/>
                <w:sz w:val="28"/>
                <w:szCs w:val="28"/>
                <w:lang w:val="ru-RU" w:eastAsia="zh-CN" w:bidi="ar-SA"/>
              </w:rPr>
              <w:t>ввели понятие  «энергетика-нищета»</w:t>
            </w:r>
            <w:r>
              <w:rPr>
                <w:rFonts w:cs="Arial"/>
                <w:sz w:val="28"/>
                <w:szCs w:val="28"/>
                <w:lang w:val="ru-RU" w:eastAsia="zh-CN" w:bidi="ar-SA"/>
              </w:rPr>
              <w:t xml:space="preserve"> </w:t>
            </w:r>
            <w:r>
              <w:rPr>
                <w:rFonts w:cs="Arial"/>
                <w:sz w:val="28"/>
                <w:szCs w:val="28"/>
                <w:lang w:val="ru-RU" w:eastAsia="zh-CN" w:bidi="ar-SA"/>
              </w:rPr>
              <w:t>в свое законодательство.</w:t>
            </w:r>
          </w:p>
          <w:p>
            <w:pPr>
              <w:pStyle w:val="Normal"/>
              <w:spacing w:lineRule="auto" w:line="240" w:before="0" w:after="0"/>
              <w:rPr>
                <w:lang w:val="ru-RU" w:eastAsia="zh-CN" w:bidi="ar-SA"/>
              </w:rPr>
            </w:pPr>
            <w:r>
              <w:rPr>
                <w:rFonts w:cs="Arial"/>
                <w:sz w:val="28"/>
                <w:szCs w:val="28"/>
                <w:lang w:val="ru-RU" w:eastAsia="zh-CN" w:bidi="ar-SA"/>
              </w:rPr>
              <w:br/>
            </w:r>
            <w:r>
              <w:rPr>
                <w:rFonts w:cs="Arial"/>
                <w:sz w:val="28"/>
                <w:szCs w:val="28"/>
                <w:lang w:val="ru-RU" w:eastAsia="zh-CN" w:bidi="ar-SA"/>
              </w:rPr>
              <w:t>В Еврокомиссии</w:t>
            </w:r>
            <w:r>
              <w:rPr>
                <w:rFonts w:cs="Arial"/>
                <w:sz w:val="28"/>
                <w:szCs w:val="28"/>
                <w:lang w:val="ru-RU" w:eastAsia="zh-CN" w:bidi="ar-SA"/>
              </w:rPr>
              <w:t xml:space="preserve"> </w:t>
            </w:r>
            <w:r>
              <w:rPr>
                <w:rFonts w:cs="Arial"/>
                <w:sz w:val="28"/>
                <w:szCs w:val="28"/>
                <w:lang w:val="ru-RU" w:eastAsia="zh-CN" w:bidi="ar-SA"/>
              </w:rPr>
              <w:t>полагают, что причинами</w:t>
            </w:r>
            <w:r>
              <w:rPr>
                <w:rFonts w:cs="Arial"/>
                <w:sz w:val="28"/>
                <w:szCs w:val="28"/>
                <w:lang w:val="ru-RU" w:eastAsia="zh-CN" w:bidi="ar-SA"/>
              </w:rPr>
              <w:t xml:space="preserve"> энергетическ</w:t>
            </w:r>
            <w:r>
              <w:rPr>
                <w:rFonts w:cs="Arial"/>
                <w:sz w:val="28"/>
                <w:szCs w:val="28"/>
                <w:lang w:val="ru-RU" w:eastAsia="zh-CN" w:bidi="ar-SA"/>
              </w:rPr>
              <w:t>ой</w:t>
            </w:r>
            <w:r>
              <w:rPr>
                <w:rFonts w:cs="Arial"/>
                <w:sz w:val="28"/>
                <w:szCs w:val="28"/>
                <w:lang w:val="ru-RU" w:eastAsia="zh-CN" w:bidi="ar-SA"/>
              </w:rPr>
              <w:t xml:space="preserve"> нищет</w:t>
            </w:r>
            <w:r>
              <w:rPr>
                <w:rFonts w:cs="Arial"/>
                <w:sz w:val="28"/>
                <w:szCs w:val="28"/>
                <w:lang w:val="ru-RU" w:eastAsia="zh-CN" w:bidi="ar-SA"/>
              </w:rPr>
              <w:t>ы стали</w:t>
            </w:r>
            <w:r>
              <w:rPr>
                <w:rFonts w:cs="Arial"/>
                <w:sz w:val="28"/>
                <w:szCs w:val="28"/>
                <w:lang w:val="ru-RU" w:eastAsia="zh-CN" w:bidi="ar-SA"/>
              </w:rPr>
              <w:t xml:space="preserve"> тр</w:t>
            </w:r>
            <w:r>
              <w:rPr>
                <w:rFonts w:cs="Arial"/>
                <w:sz w:val="28"/>
                <w:szCs w:val="28"/>
                <w:lang w:val="ru-RU" w:eastAsia="zh-CN" w:bidi="ar-SA"/>
              </w:rPr>
              <w:t>и</w:t>
            </w:r>
            <w:r>
              <w:rPr>
                <w:rFonts w:cs="Arial"/>
                <w:sz w:val="28"/>
                <w:szCs w:val="28"/>
                <w:lang w:val="ru-RU" w:eastAsia="zh-CN" w:bidi="ar-SA"/>
              </w:rPr>
              <w:t xml:space="preserve"> фактора: влияние рецессии на доходы (</w:t>
            </w:r>
            <w:r>
              <w:rPr>
                <w:rFonts w:cs="Arial"/>
                <w:sz w:val="28"/>
                <w:szCs w:val="28"/>
                <w:lang w:val="ru-RU" w:eastAsia="zh-CN" w:bidi="ar-SA"/>
              </w:rPr>
              <w:t>в частности, в Европейском Союзе</w:t>
            </w:r>
            <w:r>
              <w:rPr>
                <w:rFonts w:cs="Arial"/>
                <w:sz w:val="28"/>
                <w:szCs w:val="28"/>
                <w:lang w:val="ru-RU" w:eastAsia="zh-CN" w:bidi="ar-SA"/>
              </w:rPr>
              <w:t xml:space="preserve"> ссыла</w:t>
            </w:r>
            <w:r>
              <w:rPr>
                <w:rFonts w:cs="Arial"/>
                <w:sz w:val="28"/>
                <w:szCs w:val="28"/>
                <w:lang w:val="ru-RU" w:eastAsia="zh-CN" w:bidi="ar-SA"/>
              </w:rPr>
              <w:t>ют</w:t>
            </w:r>
            <w:r>
              <w:rPr>
                <w:rFonts w:cs="Arial"/>
                <w:sz w:val="28"/>
                <w:szCs w:val="28"/>
                <w:lang w:val="ru-RU" w:eastAsia="zh-CN" w:bidi="ar-SA"/>
              </w:rPr>
              <w:t xml:space="preserve">ся на рецессию 2008/09 года, хотя некоторые государства </w:t>
            </w:r>
            <w:r>
              <w:rPr>
                <w:rFonts w:cs="Arial"/>
                <w:sz w:val="28"/>
                <w:szCs w:val="28"/>
                <w:lang w:val="ru-RU" w:eastAsia="zh-CN" w:bidi="ar-SA"/>
              </w:rPr>
              <w:t>Европейско</w:t>
            </w:r>
            <w:r>
              <w:rPr>
                <w:rFonts w:cs="Arial"/>
                <w:sz w:val="28"/>
                <w:szCs w:val="28"/>
                <w:lang w:val="ru-RU" w:eastAsia="zh-CN" w:bidi="ar-SA"/>
              </w:rPr>
              <w:t>го</w:t>
            </w:r>
            <w:r>
              <w:rPr>
                <w:rFonts w:cs="Arial"/>
                <w:sz w:val="28"/>
                <w:szCs w:val="28"/>
                <w:lang w:val="ru-RU" w:eastAsia="zh-CN" w:bidi="ar-SA"/>
              </w:rPr>
              <w:t xml:space="preserve"> </w:t>
            </w:r>
            <w:r>
              <w:rPr>
                <w:rFonts w:cs="Arial"/>
                <w:sz w:val="28"/>
                <w:szCs w:val="28"/>
                <w:lang w:val="ru-RU" w:eastAsia="zh-CN" w:bidi="ar-SA"/>
              </w:rPr>
              <w:t>Союз</w:t>
            </w:r>
            <w:r>
              <w:rPr>
                <w:rFonts w:cs="Arial"/>
                <w:sz w:val="28"/>
                <w:szCs w:val="28"/>
                <w:lang w:val="ru-RU" w:eastAsia="zh-CN" w:bidi="ar-SA"/>
              </w:rPr>
              <w:t>а</w:t>
            </w:r>
            <w:r>
              <w:rPr>
                <w:rFonts w:cs="Arial"/>
                <w:sz w:val="28"/>
                <w:szCs w:val="28"/>
                <w:lang w:val="ru-RU" w:eastAsia="zh-CN" w:bidi="ar-SA"/>
              </w:rPr>
              <w:t xml:space="preserve"> находились в </w:t>
            </w:r>
            <w:r>
              <w:rPr>
                <w:rFonts w:cs="Arial"/>
                <w:sz w:val="28"/>
                <w:szCs w:val="28"/>
                <w:lang w:val="ru-RU" w:eastAsia="zh-CN" w:bidi="ar-SA"/>
              </w:rPr>
              <w:t>этом состоянии задолго до 2008 года</w:t>
            </w:r>
            <w:r>
              <w:rPr>
                <w:rFonts w:cs="Arial"/>
                <w:sz w:val="28"/>
                <w:szCs w:val="28"/>
                <w:lang w:val="ru-RU" w:eastAsia="zh-CN" w:bidi="ar-SA"/>
              </w:rPr>
              <w:t>); энергетичес</w:t>
            </w:r>
            <w:r>
              <w:rPr>
                <w:rFonts w:cs="Arial"/>
                <w:sz w:val="28"/>
                <w:szCs w:val="28"/>
                <w:lang w:val="ru-RU" w:eastAsia="zh-CN" w:bidi="ar-SA"/>
              </w:rPr>
              <w:t>ки</w:t>
            </w:r>
            <w:r>
              <w:rPr>
                <w:rFonts w:cs="Arial"/>
                <w:sz w:val="28"/>
                <w:szCs w:val="28"/>
                <w:lang w:val="ru-RU" w:eastAsia="zh-CN" w:bidi="ar-SA"/>
              </w:rPr>
              <w:t xml:space="preserve"> неэффективн</w:t>
            </w:r>
            <w:r>
              <w:rPr>
                <w:rFonts w:cs="Arial"/>
                <w:sz w:val="28"/>
                <w:szCs w:val="28"/>
                <w:lang w:val="ru-RU" w:eastAsia="zh-CN" w:bidi="ar-SA"/>
              </w:rPr>
              <w:t>ое</w:t>
            </w:r>
            <w:r>
              <w:rPr>
                <w:rFonts w:cs="Arial"/>
                <w:sz w:val="28"/>
                <w:szCs w:val="28"/>
                <w:lang w:val="ru-RU" w:eastAsia="zh-CN" w:bidi="ar-SA"/>
              </w:rPr>
              <w:t xml:space="preserve"> жиль</w:t>
            </w:r>
            <w:r>
              <w:rPr>
                <w:rFonts w:cs="Arial"/>
                <w:sz w:val="28"/>
                <w:szCs w:val="28"/>
                <w:lang w:val="ru-RU" w:eastAsia="zh-CN" w:bidi="ar-SA"/>
              </w:rPr>
              <w:t>е</w:t>
            </w:r>
            <w:r>
              <w:rPr>
                <w:rFonts w:cs="Arial"/>
                <w:sz w:val="28"/>
                <w:szCs w:val="28"/>
                <w:lang w:val="ru-RU" w:eastAsia="zh-CN" w:bidi="ar-SA"/>
              </w:rPr>
              <w:t xml:space="preserve">; и рост цен на </w:t>
            </w:r>
            <w:r>
              <w:rPr>
                <w:rFonts w:cs="Arial"/>
                <w:sz w:val="28"/>
                <w:szCs w:val="28"/>
                <w:lang w:val="ru-RU" w:eastAsia="zh-CN" w:bidi="ar-SA"/>
              </w:rPr>
              <w:t>электроэнергию</w:t>
            </w:r>
            <w:r>
              <w:rPr>
                <w:rFonts w:cs="Arial"/>
                <w:sz w:val="28"/>
                <w:szCs w:val="28"/>
                <w:lang w:val="ru-RU" w:eastAsia="zh-CN" w:bidi="ar-SA"/>
              </w:rPr>
              <w:t>.</w:t>
              <w:br/>
              <w:br/>
              <w:t>(…)</w:t>
            </w:r>
          </w:p>
        </w:tc>
      </w:tr>
    </w:tbl>
    <w:p>
      <w:pPr>
        <w:pStyle w:val="Normal"/>
        <w:rPr/>
      </w:pPr>
      <w:r>
        <w:rPr/>
      </w:r>
    </w:p>
    <w:sectPr>
      <w:type w:val="nextPage"/>
      <w:pgSz w:w="12240" w:h="15840"/>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1f3b"/>
    <w:pPr>
      <w:widowControl/>
      <w:bidi w:val="0"/>
      <w:spacing w:lineRule="auto" w:line="240" w:before="0" w:after="0"/>
      <w:jc w:val="left"/>
    </w:pPr>
    <w:rPr>
      <w:rFonts w:ascii="Times New Roman" w:hAnsi="Times New Roman" w:eastAsia="SimSun" w:cs="Times New Roman"/>
      <w:color w:val="00000A"/>
      <w:kern w:val="0"/>
      <w:sz w:val="24"/>
      <w:szCs w:val="24"/>
      <w:lang w:val="en-US" w:eastAsia="zh-CN" w:bidi="ar-SA"/>
    </w:rPr>
  </w:style>
  <w:style w:type="character" w:styleId="DefaultParagraphFont" w:default="1">
    <w:name w:val="Default Paragraph Font"/>
    <w:uiPriority w:val="1"/>
    <w:semiHidden/>
    <w:unhideWhenUsed/>
    <w:qFormat/>
    <w:rPr/>
  </w:style>
  <w:style w:type="character" w:styleId="Style14">
    <w:name w:val="Выделение"/>
    <w:qFormat/>
    <w:rPr>
      <w:i/>
      <w:i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be0ad2"/>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d61f3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LibreOffice/5.4.3.2$Windows_x86 LibreOffice_project/92a7159f7e4af62137622921e809f8546db437e5</Application>
  <Pages>2</Pages>
  <Words>536</Words>
  <Characters>3065</Characters>
  <CharactersWithSpaces>3598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2017-09-22T13:54:00Z</dcterms:created>
  <dc:creator>work</dc:creator>
  <dc:description/>
  <dc:language>ru-RU</dc:language>
  <cp:lastModifiedBy/>
  <dcterms:modified xsi:type="dcterms:W3CDTF">2017-12-02T18:40:38Z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