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1C" w:rsidRPr="001431F1" w:rsidRDefault="008E3B4E">
      <w:pPr>
        <w:rPr>
          <w:rFonts w:ascii="Times New Roman" w:hAnsi="Times New Roman" w:cs="Times New Roman"/>
          <w:color w:val="FF0000"/>
          <w:sz w:val="28"/>
          <w:szCs w:val="28"/>
        </w:rPr>
      </w:pPr>
      <w:bookmarkStart w:id="0" w:name="_GoBack"/>
      <w:r w:rsidRPr="001431F1">
        <w:rPr>
          <w:rFonts w:ascii="Times New Roman" w:hAnsi="Times New Roman" w:cs="Times New Roman"/>
          <w:color w:val="FF0000"/>
          <w:sz w:val="28"/>
          <w:szCs w:val="28"/>
        </w:rPr>
        <w:t xml:space="preserve">Первоначальные предложения монет – </w:t>
      </w:r>
      <w:proofErr w:type="spellStart"/>
      <w:r w:rsidRPr="001431F1">
        <w:rPr>
          <w:rFonts w:ascii="Times New Roman" w:hAnsi="Times New Roman" w:cs="Times New Roman"/>
          <w:color w:val="FF0000"/>
          <w:sz w:val="28"/>
          <w:szCs w:val="28"/>
        </w:rPr>
        <w:t>ICOs</w:t>
      </w:r>
      <w:proofErr w:type="spellEnd"/>
    </w:p>
    <w:p w:rsidR="008E3B4E" w:rsidRPr="001431F1" w:rsidRDefault="00D22050" w:rsidP="008E3B4E">
      <w:pPr>
        <w:rPr>
          <w:rFonts w:ascii="Times New Roman" w:hAnsi="Times New Roman" w:cs="Times New Roman"/>
          <w:color w:val="5B9BD5" w:themeColor="accent1"/>
          <w:sz w:val="28"/>
          <w:szCs w:val="28"/>
        </w:rPr>
      </w:pPr>
      <w:r w:rsidRPr="001431F1">
        <w:rPr>
          <w:rFonts w:ascii="Times New Roman" w:hAnsi="Times New Roman" w:cs="Times New Roman"/>
          <w:sz w:val="28"/>
          <w:szCs w:val="28"/>
        </w:rPr>
        <w:t>Первоначально основная идея ICO заключалась в том, чтобы финансировать новые проекты, продавая монеты, жетоны инвесторам, заинтересованным в проекте. Предприниматели представляют технический документ, описывающий бизнес</w:t>
      </w:r>
      <w:r w:rsidR="0002700D" w:rsidRPr="0002700D">
        <w:rPr>
          <w:rFonts w:ascii="Times New Roman" w:hAnsi="Times New Roman" w:cs="Times New Roman"/>
          <w:sz w:val="28"/>
          <w:szCs w:val="28"/>
        </w:rPr>
        <w:t xml:space="preserve"> </w:t>
      </w:r>
      <w:r w:rsidRPr="001431F1">
        <w:rPr>
          <w:rFonts w:ascii="Times New Roman" w:hAnsi="Times New Roman" w:cs="Times New Roman"/>
          <w:sz w:val="28"/>
          <w:szCs w:val="28"/>
        </w:rPr>
        <w:t>-</w:t>
      </w:r>
      <w:r w:rsidR="0002700D" w:rsidRPr="0002700D">
        <w:rPr>
          <w:rFonts w:ascii="Times New Roman" w:hAnsi="Times New Roman" w:cs="Times New Roman"/>
          <w:sz w:val="28"/>
          <w:szCs w:val="28"/>
        </w:rPr>
        <w:t xml:space="preserve"> </w:t>
      </w:r>
      <w:r w:rsidRPr="001431F1">
        <w:rPr>
          <w:rFonts w:ascii="Times New Roman" w:hAnsi="Times New Roman" w:cs="Times New Roman"/>
          <w:sz w:val="28"/>
          <w:szCs w:val="28"/>
        </w:rPr>
        <w:t xml:space="preserve">модель и технические характеристики проекта перед ICO. Они выкладывают график для проекта и устанавливают целевой бюджет, где описывают будущие расходы на средства (маркетинг, исследования), а также распределение монет (сколько монет они собираются хранить для себя, поставки </w:t>
      </w:r>
      <w:proofErr w:type="spellStart"/>
      <w:r w:rsidRPr="001431F1">
        <w:rPr>
          <w:rFonts w:ascii="Times New Roman" w:hAnsi="Times New Roman" w:cs="Times New Roman"/>
          <w:sz w:val="28"/>
          <w:szCs w:val="28"/>
        </w:rPr>
        <w:t>токенов</w:t>
      </w:r>
      <w:proofErr w:type="spellEnd"/>
      <w:r w:rsidRPr="001431F1">
        <w:rPr>
          <w:rFonts w:ascii="Times New Roman" w:hAnsi="Times New Roman" w:cs="Times New Roman"/>
          <w:sz w:val="28"/>
          <w:szCs w:val="28"/>
        </w:rPr>
        <w:t xml:space="preserve">). Во время кампании </w:t>
      </w:r>
      <w:proofErr w:type="spellStart"/>
      <w:r w:rsidRPr="001431F1">
        <w:rPr>
          <w:rFonts w:ascii="Times New Roman" w:hAnsi="Times New Roman" w:cs="Times New Roman"/>
          <w:sz w:val="28"/>
          <w:szCs w:val="28"/>
        </w:rPr>
        <w:t>crowdfunding</w:t>
      </w:r>
      <w:proofErr w:type="spellEnd"/>
      <w:r w:rsidRPr="001431F1">
        <w:rPr>
          <w:rFonts w:ascii="Times New Roman" w:hAnsi="Times New Roman" w:cs="Times New Roman"/>
          <w:sz w:val="28"/>
          <w:szCs w:val="28"/>
        </w:rPr>
        <w:t xml:space="preserve"> инвесторы покупают жетоны с уже установленными крипто вариантами, такими как </w:t>
      </w:r>
      <w:proofErr w:type="spellStart"/>
      <w:r w:rsidRPr="001431F1">
        <w:rPr>
          <w:rFonts w:ascii="Times New Roman" w:hAnsi="Times New Roman" w:cs="Times New Roman"/>
          <w:color w:val="5B9BD5" w:themeColor="accent1"/>
          <w:sz w:val="28"/>
          <w:szCs w:val="28"/>
        </w:rPr>
        <w:t>Bitcoin</w:t>
      </w:r>
      <w:proofErr w:type="spellEnd"/>
      <w:r w:rsidRPr="001431F1">
        <w:rPr>
          <w:rFonts w:ascii="Times New Roman" w:hAnsi="Times New Roman" w:cs="Times New Roman"/>
          <w:color w:val="5B9BD5" w:themeColor="accent1"/>
          <w:sz w:val="28"/>
          <w:szCs w:val="28"/>
        </w:rPr>
        <w:t xml:space="preserve"> </w:t>
      </w:r>
      <w:r w:rsidRPr="001431F1">
        <w:rPr>
          <w:rFonts w:ascii="Times New Roman" w:hAnsi="Times New Roman" w:cs="Times New Roman"/>
          <w:sz w:val="28"/>
          <w:szCs w:val="28"/>
        </w:rPr>
        <w:t xml:space="preserve">и </w:t>
      </w:r>
      <w:proofErr w:type="spellStart"/>
      <w:r w:rsidRPr="001431F1">
        <w:rPr>
          <w:rFonts w:ascii="Times New Roman" w:hAnsi="Times New Roman" w:cs="Times New Roman"/>
          <w:color w:val="5B9BD5" w:themeColor="accent1"/>
          <w:sz w:val="28"/>
          <w:szCs w:val="28"/>
        </w:rPr>
        <w:t>Ethereum</w:t>
      </w:r>
      <w:proofErr w:type="spellEnd"/>
      <w:r w:rsidRPr="001431F1">
        <w:rPr>
          <w:rFonts w:ascii="Times New Roman" w:hAnsi="Times New Roman" w:cs="Times New Roman"/>
          <w:color w:val="5B9BD5" w:themeColor="accent1"/>
          <w:sz w:val="28"/>
          <w:szCs w:val="28"/>
        </w:rPr>
        <w:t xml:space="preserve">. </w:t>
      </w:r>
    </w:p>
    <w:p w:rsidR="00D22050" w:rsidRPr="001431F1" w:rsidRDefault="00D22050" w:rsidP="00D22050">
      <w:pPr>
        <w:rPr>
          <w:rFonts w:ascii="Times New Roman" w:hAnsi="Times New Roman" w:cs="Times New Roman"/>
          <w:sz w:val="28"/>
          <w:szCs w:val="28"/>
        </w:rPr>
      </w:pPr>
      <w:r w:rsidRPr="001431F1">
        <w:rPr>
          <w:rFonts w:ascii="Times New Roman" w:hAnsi="Times New Roman" w:cs="Times New Roman"/>
          <w:sz w:val="28"/>
          <w:szCs w:val="28"/>
        </w:rPr>
        <w:t xml:space="preserve">В противоположность традиционному обратному обращению, когда инвестиции считаются пожертвованием или предварительной покупкой продукта, ICO предоставляют сторонникам возможность возврата инвестиций при продаже своей монеты позже по более высокой цене. ICO похожи на IPO только в том случае, если </w:t>
      </w:r>
      <w:proofErr w:type="spellStart"/>
      <w:r w:rsidRPr="001431F1">
        <w:rPr>
          <w:rFonts w:ascii="Times New Roman" w:hAnsi="Times New Roman" w:cs="Times New Roman"/>
          <w:sz w:val="28"/>
          <w:szCs w:val="28"/>
        </w:rPr>
        <w:t>токен</w:t>
      </w:r>
      <w:proofErr w:type="spellEnd"/>
      <w:r w:rsidRPr="001431F1">
        <w:rPr>
          <w:rFonts w:ascii="Times New Roman" w:hAnsi="Times New Roman" w:cs="Times New Roman"/>
          <w:sz w:val="28"/>
          <w:szCs w:val="28"/>
        </w:rPr>
        <w:t xml:space="preserve"> представляет собой долю в проекте.</w:t>
      </w:r>
    </w:p>
    <w:p w:rsidR="00D22050" w:rsidRPr="001431F1" w:rsidRDefault="00D22050" w:rsidP="00D22050">
      <w:pPr>
        <w:rPr>
          <w:rFonts w:ascii="Times New Roman" w:hAnsi="Times New Roman" w:cs="Times New Roman"/>
          <w:color w:val="ED7D31" w:themeColor="accent2"/>
          <w:sz w:val="28"/>
          <w:szCs w:val="28"/>
        </w:rPr>
      </w:pPr>
      <w:r w:rsidRPr="001431F1">
        <w:rPr>
          <w:rFonts w:ascii="Times New Roman" w:hAnsi="Times New Roman" w:cs="Times New Roman"/>
          <w:color w:val="ED7D31" w:themeColor="accent2"/>
          <w:sz w:val="28"/>
          <w:szCs w:val="28"/>
        </w:rPr>
        <w:t>Толпа финансирования или толпы инвестиций?</w:t>
      </w:r>
    </w:p>
    <w:p w:rsidR="00D22050" w:rsidRPr="001431F1" w:rsidRDefault="00D22050" w:rsidP="00D22050">
      <w:pPr>
        <w:rPr>
          <w:rFonts w:ascii="Times New Roman" w:hAnsi="Times New Roman" w:cs="Times New Roman"/>
          <w:sz w:val="28"/>
          <w:szCs w:val="28"/>
        </w:rPr>
      </w:pPr>
      <w:r w:rsidRPr="001431F1">
        <w:rPr>
          <w:rFonts w:ascii="Times New Roman" w:hAnsi="Times New Roman" w:cs="Times New Roman"/>
          <w:sz w:val="28"/>
          <w:szCs w:val="28"/>
        </w:rPr>
        <w:t xml:space="preserve">В зависимости от белой бумаги </w:t>
      </w:r>
      <w:proofErr w:type="spellStart"/>
      <w:r w:rsidRPr="001431F1">
        <w:rPr>
          <w:rFonts w:ascii="Times New Roman" w:hAnsi="Times New Roman" w:cs="Times New Roman"/>
          <w:sz w:val="28"/>
          <w:szCs w:val="28"/>
        </w:rPr>
        <w:t>токены</w:t>
      </w:r>
      <w:proofErr w:type="spellEnd"/>
      <w:r w:rsidRPr="001431F1">
        <w:rPr>
          <w:rFonts w:ascii="Times New Roman" w:hAnsi="Times New Roman" w:cs="Times New Roman"/>
          <w:sz w:val="28"/>
          <w:szCs w:val="28"/>
        </w:rPr>
        <w:t xml:space="preserve"> могут иметь очень разные свойства. ICO очень часто сравнивают с </w:t>
      </w:r>
      <w:proofErr w:type="spellStart"/>
      <w:r w:rsidRPr="001431F1">
        <w:rPr>
          <w:rFonts w:ascii="Times New Roman" w:hAnsi="Times New Roman" w:cs="Times New Roman"/>
          <w:sz w:val="28"/>
          <w:szCs w:val="28"/>
        </w:rPr>
        <w:t>crowdfunding</w:t>
      </w:r>
      <w:proofErr w:type="spellEnd"/>
      <w:r w:rsidRPr="001431F1">
        <w:rPr>
          <w:rFonts w:ascii="Times New Roman" w:hAnsi="Times New Roman" w:cs="Times New Roman"/>
          <w:sz w:val="28"/>
          <w:szCs w:val="28"/>
        </w:rPr>
        <w:t xml:space="preserve"> или толкование инвестиций на </w:t>
      </w:r>
      <w:proofErr w:type="spellStart"/>
      <w:r w:rsidRPr="001431F1">
        <w:rPr>
          <w:rFonts w:ascii="Times New Roman" w:hAnsi="Times New Roman" w:cs="Times New Roman"/>
          <w:color w:val="5B9BD5" w:themeColor="accent1"/>
          <w:sz w:val="28"/>
          <w:szCs w:val="28"/>
        </w:rPr>
        <w:t>Blockchain</w:t>
      </w:r>
      <w:proofErr w:type="spellEnd"/>
      <w:r w:rsidRPr="001431F1">
        <w:rPr>
          <w:rFonts w:ascii="Times New Roman" w:hAnsi="Times New Roman" w:cs="Times New Roman"/>
          <w:sz w:val="28"/>
          <w:szCs w:val="28"/>
        </w:rPr>
        <w:t xml:space="preserve">. Большинство случаев являются гибридными и не попадают ни в одну из категорий. В отличие от </w:t>
      </w:r>
      <w:proofErr w:type="spellStart"/>
      <w:r w:rsidRPr="001431F1">
        <w:rPr>
          <w:rFonts w:ascii="Times New Roman" w:hAnsi="Times New Roman" w:cs="Times New Roman"/>
          <w:sz w:val="28"/>
          <w:szCs w:val="28"/>
        </w:rPr>
        <w:t>crowdfunding</w:t>
      </w:r>
      <w:proofErr w:type="spellEnd"/>
      <w:r w:rsidRPr="001431F1">
        <w:rPr>
          <w:rFonts w:ascii="Times New Roman" w:hAnsi="Times New Roman" w:cs="Times New Roman"/>
          <w:sz w:val="28"/>
          <w:szCs w:val="28"/>
        </w:rPr>
        <w:t xml:space="preserve">, где инвестиции считаются пожертвованиями, ICO предоставляют сторонникам возможность возврата инвестиций при продаже </w:t>
      </w:r>
      <w:proofErr w:type="spellStart"/>
      <w:r w:rsidRPr="001431F1">
        <w:rPr>
          <w:rFonts w:ascii="Times New Roman" w:hAnsi="Times New Roman" w:cs="Times New Roman"/>
          <w:sz w:val="28"/>
          <w:szCs w:val="28"/>
        </w:rPr>
        <w:t>токена</w:t>
      </w:r>
      <w:proofErr w:type="spellEnd"/>
      <w:r w:rsidRPr="001431F1">
        <w:rPr>
          <w:rFonts w:ascii="Times New Roman" w:hAnsi="Times New Roman" w:cs="Times New Roman"/>
          <w:sz w:val="28"/>
          <w:szCs w:val="28"/>
        </w:rPr>
        <w:t xml:space="preserve"> на более поздний срок по более высокой цене. ICO можно рассматривать как смесь между пожертвованием, инвестициями или рисковым капиталом. </w:t>
      </w:r>
    </w:p>
    <w:p w:rsidR="00D22050" w:rsidRPr="001431F1" w:rsidRDefault="00D22050" w:rsidP="00D22050">
      <w:pPr>
        <w:rPr>
          <w:rFonts w:ascii="Times New Roman" w:hAnsi="Times New Roman" w:cs="Times New Roman"/>
          <w:sz w:val="28"/>
          <w:szCs w:val="28"/>
        </w:rPr>
      </w:pPr>
      <w:r w:rsidRPr="001431F1">
        <w:rPr>
          <w:rFonts w:ascii="Times New Roman" w:hAnsi="Times New Roman" w:cs="Times New Roman"/>
          <w:sz w:val="28"/>
          <w:szCs w:val="28"/>
        </w:rPr>
        <w:t xml:space="preserve">Инвесторы получают монеты для поддержки идеи запуска. Если </w:t>
      </w:r>
      <w:proofErr w:type="spellStart"/>
      <w:r w:rsidRPr="001431F1">
        <w:rPr>
          <w:rFonts w:ascii="Times New Roman" w:hAnsi="Times New Roman" w:cs="Times New Roman"/>
          <w:sz w:val="28"/>
          <w:szCs w:val="28"/>
        </w:rPr>
        <w:t>стартап</w:t>
      </w:r>
      <w:proofErr w:type="spellEnd"/>
      <w:r w:rsidRPr="001431F1">
        <w:rPr>
          <w:rFonts w:ascii="Times New Roman" w:hAnsi="Times New Roman" w:cs="Times New Roman"/>
          <w:sz w:val="28"/>
          <w:szCs w:val="28"/>
        </w:rPr>
        <w:t xml:space="preserve"> успешный, </w:t>
      </w:r>
      <w:proofErr w:type="spellStart"/>
      <w:r w:rsidRPr="001431F1">
        <w:rPr>
          <w:rFonts w:ascii="Times New Roman" w:hAnsi="Times New Roman" w:cs="Times New Roman"/>
          <w:sz w:val="28"/>
          <w:szCs w:val="28"/>
        </w:rPr>
        <w:t>токен</w:t>
      </w:r>
      <w:proofErr w:type="spellEnd"/>
      <w:r w:rsidRPr="001431F1">
        <w:rPr>
          <w:rFonts w:ascii="Times New Roman" w:hAnsi="Times New Roman" w:cs="Times New Roman"/>
          <w:sz w:val="28"/>
          <w:szCs w:val="28"/>
        </w:rPr>
        <w:t xml:space="preserve"> будет стоить больше в будущем, но обычно это не ставка в системе. ICO похожа на IPO, если </w:t>
      </w:r>
      <w:proofErr w:type="spellStart"/>
      <w:r w:rsidRPr="001431F1">
        <w:rPr>
          <w:rFonts w:ascii="Times New Roman" w:hAnsi="Times New Roman" w:cs="Times New Roman"/>
          <w:sz w:val="28"/>
          <w:szCs w:val="28"/>
        </w:rPr>
        <w:t>токен</w:t>
      </w:r>
      <w:proofErr w:type="spellEnd"/>
      <w:r w:rsidRPr="001431F1">
        <w:rPr>
          <w:rFonts w:ascii="Times New Roman" w:hAnsi="Times New Roman" w:cs="Times New Roman"/>
          <w:sz w:val="28"/>
          <w:szCs w:val="28"/>
        </w:rPr>
        <w:t xml:space="preserve"> представляет собой долю в проекте. В отличие от IPO большинство компаний-членов, которые были проведены в 2016 и 2017 годах, не предоставили инвесторам традиционную долю в запуске. Эти инвесторы можно рассматривать как сторонников проекта, которые исключительно мотивированы возвратом своих инвестиций. </w:t>
      </w:r>
    </w:p>
    <w:p w:rsidR="00D22050" w:rsidRPr="001431F1" w:rsidRDefault="00D22050" w:rsidP="00D22050">
      <w:pPr>
        <w:rPr>
          <w:rFonts w:ascii="Times New Roman" w:hAnsi="Times New Roman" w:cs="Times New Roman"/>
          <w:color w:val="ED7D31" w:themeColor="accent2"/>
          <w:sz w:val="28"/>
          <w:szCs w:val="28"/>
        </w:rPr>
      </w:pPr>
      <w:r w:rsidRPr="001431F1">
        <w:rPr>
          <w:rFonts w:ascii="Times New Roman" w:hAnsi="Times New Roman" w:cs="Times New Roman"/>
          <w:color w:val="ED7D31" w:themeColor="accent2"/>
          <w:sz w:val="28"/>
          <w:szCs w:val="28"/>
        </w:rPr>
        <w:t>Регулирование</w:t>
      </w:r>
    </w:p>
    <w:p w:rsidR="00D22050" w:rsidRPr="001431F1" w:rsidRDefault="00D22050" w:rsidP="00D22050">
      <w:pPr>
        <w:rPr>
          <w:rFonts w:ascii="Times New Roman" w:hAnsi="Times New Roman" w:cs="Times New Roman"/>
          <w:sz w:val="28"/>
          <w:szCs w:val="28"/>
        </w:rPr>
      </w:pPr>
      <w:r w:rsidRPr="001431F1">
        <w:rPr>
          <w:rFonts w:ascii="Times New Roman" w:hAnsi="Times New Roman" w:cs="Times New Roman"/>
          <w:sz w:val="28"/>
          <w:szCs w:val="28"/>
        </w:rPr>
        <w:t xml:space="preserve">До недавнего времени способ создания ICO полностью зависел от команды, стоящей за проектом </w:t>
      </w:r>
      <w:proofErr w:type="spellStart"/>
      <w:r w:rsidRPr="001431F1">
        <w:rPr>
          <w:rFonts w:ascii="Times New Roman" w:hAnsi="Times New Roman" w:cs="Times New Roman"/>
          <w:sz w:val="28"/>
          <w:szCs w:val="28"/>
        </w:rPr>
        <w:t>blockchain</w:t>
      </w:r>
      <w:proofErr w:type="spellEnd"/>
      <w:r w:rsidRPr="001431F1">
        <w:rPr>
          <w:rFonts w:ascii="Times New Roman" w:hAnsi="Times New Roman" w:cs="Times New Roman"/>
          <w:sz w:val="28"/>
          <w:szCs w:val="28"/>
        </w:rPr>
        <w:t>. В настоящее время в</w:t>
      </w:r>
      <w:r w:rsidR="005500DB" w:rsidRPr="001431F1">
        <w:rPr>
          <w:rFonts w:ascii="Times New Roman" w:hAnsi="Times New Roman" w:cs="Times New Roman"/>
          <w:sz w:val="28"/>
          <w:szCs w:val="28"/>
        </w:rPr>
        <w:t xml:space="preserve"> ICO</w:t>
      </w:r>
      <w:r w:rsidRPr="001431F1">
        <w:rPr>
          <w:rFonts w:ascii="Times New Roman" w:hAnsi="Times New Roman" w:cs="Times New Roman"/>
          <w:sz w:val="28"/>
          <w:szCs w:val="28"/>
        </w:rPr>
        <w:t xml:space="preserve"> по-прежнему не хватает государственного регулирования или стандартов сообщества, и это можно считать опасным для необразованных инвесторов.</w:t>
      </w:r>
    </w:p>
    <w:p w:rsidR="005500DB" w:rsidRPr="001431F1" w:rsidRDefault="005500DB" w:rsidP="00D22050">
      <w:pPr>
        <w:rPr>
          <w:rFonts w:ascii="Times New Roman" w:hAnsi="Times New Roman" w:cs="Times New Roman"/>
          <w:sz w:val="28"/>
          <w:szCs w:val="28"/>
        </w:rPr>
      </w:pPr>
      <w:r w:rsidRPr="001431F1">
        <w:rPr>
          <w:rFonts w:ascii="Times New Roman" w:hAnsi="Times New Roman" w:cs="Times New Roman"/>
          <w:sz w:val="28"/>
          <w:szCs w:val="28"/>
        </w:rPr>
        <w:lastRenderedPageBreak/>
        <w:t xml:space="preserve">В большинстве случаев покупка нового </w:t>
      </w:r>
      <w:proofErr w:type="spellStart"/>
      <w:r w:rsidRPr="001431F1">
        <w:rPr>
          <w:rFonts w:ascii="Times New Roman" w:hAnsi="Times New Roman" w:cs="Times New Roman"/>
          <w:sz w:val="28"/>
          <w:szCs w:val="28"/>
        </w:rPr>
        <w:t>токена</w:t>
      </w:r>
      <w:proofErr w:type="spellEnd"/>
      <w:r w:rsidRPr="001431F1">
        <w:rPr>
          <w:rFonts w:ascii="Times New Roman" w:hAnsi="Times New Roman" w:cs="Times New Roman"/>
          <w:sz w:val="28"/>
          <w:szCs w:val="28"/>
        </w:rPr>
        <w:t xml:space="preserve"> не дает инвесторам доли в компании, а скорее надежду, что, если проект станет успешным, инвесторы смогут продавать свои монеты по гораздо более высокой цене. </w:t>
      </w:r>
    </w:p>
    <w:p w:rsidR="001431F1" w:rsidRPr="001431F1" w:rsidRDefault="001431F1" w:rsidP="001431F1">
      <w:pPr>
        <w:rPr>
          <w:rFonts w:ascii="Times New Roman" w:hAnsi="Times New Roman" w:cs="Times New Roman"/>
          <w:color w:val="5B9BD5" w:themeColor="accent1"/>
          <w:sz w:val="28"/>
          <w:szCs w:val="28"/>
        </w:rPr>
      </w:pPr>
      <w:r w:rsidRPr="001431F1">
        <w:rPr>
          <w:rFonts w:ascii="Times New Roman" w:hAnsi="Times New Roman" w:cs="Times New Roman"/>
          <w:color w:val="5B9BD5" w:themeColor="accent1"/>
          <w:sz w:val="28"/>
          <w:szCs w:val="28"/>
        </w:rPr>
        <w:t>Обновление 31/10/2017 - Теперь мы можем делиться диапазонами сборов, используемыми DCMS в их недавних консультациях о будущих сборах ICO.</w:t>
      </w:r>
    </w:p>
    <w:p w:rsidR="001431F1" w:rsidRPr="001431F1" w:rsidRDefault="001431F1" w:rsidP="001431F1">
      <w:pPr>
        <w:rPr>
          <w:rFonts w:ascii="Times New Roman" w:hAnsi="Times New Roman" w:cs="Times New Roman"/>
          <w:sz w:val="28"/>
          <w:szCs w:val="28"/>
        </w:rPr>
      </w:pP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Уровень 1: Малые и средние фирмы, которые не обрабатывают большие объемы данных. Численность персонала ниже 250; а также</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Оборот ниже 50 млн. Долл. США; а также</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Количество записей, обработанных до 10 000</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 Государственные органы должны классифицировать себя по штату и количеству записей.</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Уровень 2: Малые и средние фирмы, которые обрабатывают большие объемы данных. Численность персонала ниже 250; а также</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Оборот ниже 50 млн. Долл. США; а также</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Количество записей, обработанных выше 10000</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 Государственные органы должны классифицировать себя по штату и количеству записей.</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Уровень 3: Крупные предприятия Штат сотрудников превышает 250; а также</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Оборот выше 50 млн. Долл. США</w:t>
      </w:r>
    </w:p>
    <w:p w:rsidR="001431F1" w:rsidRP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 Государственные органы должны классифицировать себя по штату и количеству записей.</w:t>
      </w:r>
    </w:p>
    <w:p w:rsidR="001431F1" w:rsidRDefault="001431F1" w:rsidP="001431F1">
      <w:pPr>
        <w:rPr>
          <w:rFonts w:ascii="Times New Roman" w:hAnsi="Times New Roman" w:cs="Times New Roman"/>
          <w:sz w:val="28"/>
          <w:szCs w:val="28"/>
        </w:rPr>
      </w:pPr>
      <w:r w:rsidRPr="001431F1">
        <w:rPr>
          <w:rFonts w:ascii="Times New Roman" w:hAnsi="Times New Roman" w:cs="Times New Roman"/>
          <w:sz w:val="28"/>
          <w:szCs w:val="28"/>
        </w:rPr>
        <w:t>Прямой маркетинг вверх Организации, которые осуществляют деятельность в области электронного маркетинга как часть своего бизнеса.</w:t>
      </w:r>
    </w:p>
    <w:p w:rsidR="007016BB" w:rsidRDefault="007016BB" w:rsidP="001431F1">
      <w:pPr>
        <w:rPr>
          <w:rFonts w:ascii="Times New Roman" w:hAnsi="Times New Roman" w:cs="Times New Roman"/>
          <w:sz w:val="28"/>
          <w:szCs w:val="28"/>
        </w:rPr>
      </w:pPr>
    </w:p>
    <w:bookmarkEnd w:id="0"/>
    <w:p w:rsidR="007016BB" w:rsidRPr="001431F1" w:rsidRDefault="007016BB" w:rsidP="007016BB">
      <w:pPr>
        <w:rPr>
          <w:rFonts w:ascii="Times New Roman" w:hAnsi="Times New Roman" w:cs="Times New Roman"/>
          <w:sz w:val="28"/>
          <w:szCs w:val="28"/>
        </w:rPr>
      </w:pPr>
    </w:p>
    <w:sectPr w:rsidR="007016BB" w:rsidRPr="00143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E"/>
    <w:rsid w:val="0002700D"/>
    <w:rsid w:val="001431F1"/>
    <w:rsid w:val="00435C0F"/>
    <w:rsid w:val="005500DB"/>
    <w:rsid w:val="00627A1C"/>
    <w:rsid w:val="007016BB"/>
    <w:rsid w:val="00790487"/>
    <w:rsid w:val="008E3B4E"/>
    <w:rsid w:val="00C906E1"/>
    <w:rsid w:val="00D2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FFDA"/>
  <w15:chartTrackingRefBased/>
  <w15:docId w15:val="{48B3EAEC-5286-44B1-BD95-F1A1DA75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2018-01-14T20:25:00Z</dcterms:created>
  <dcterms:modified xsi:type="dcterms:W3CDTF">2018-01-14T21:48:00Z</dcterms:modified>
</cp:coreProperties>
</file>