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79" w:rsidRDefault="00214479" w:rsidP="00214479">
      <w:pPr>
        <w:spacing w:after="0" w:line="360" w:lineRule="auto"/>
        <w:rPr>
          <w:rFonts w:ascii="Times New Roman" w:hAnsi="Times New Roman" w:cs="Times New Roman"/>
          <w:b/>
          <w:sz w:val="28"/>
          <w:szCs w:val="28"/>
        </w:rPr>
      </w:pPr>
      <w:r w:rsidRPr="00612608">
        <w:rPr>
          <w:rFonts w:ascii="Times New Roman" w:hAnsi="Times New Roman" w:cs="Times New Roman"/>
          <w:b/>
          <w:sz w:val="28"/>
          <w:szCs w:val="28"/>
        </w:rPr>
        <w:t>УДК 159.9.07</w:t>
      </w:r>
    </w:p>
    <w:p w:rsidR="00612608" w:rsidRPr="00612608" w:rsidRDefault="00612608" w:rsidP="00214479">
      <w:pPr>
        <w:spacing w:after="0" w:line="360" w:lineRule="auto"/>
        <w:rPr>
          <w:rFonts w:ascii="Times New Roman" w:hAnsi="Times New Roman" w:cs="Times New Roman"/>
          <w:b/>
          <w:sz w:val="28"/>
          <w:szCs w:val="28"/>
        </w:rPr>
      </w:pPr>
    </w:p>
    <w:p w:rsidR="00612608" w:rsidRDefault="00612608" w:rsidP="00612608">
      <w:pPr>
        <w:spacing w:after="0" w:line="360" w:lineRule="auto"/>
        <w:jc w:val="center"/>
        <w:rPr>
          <w:rFonts w:ascii="Times New Roman" w:hAnsi="Times New Roman" w:cs="Times New Roman"/>
          <w:b/>
          <w:sz w:val="28"/>
          <w:szCs w:val="28"/>
        </w:rPr>
      </w:pPr>
      <w:r w:rsidRPr="00612608">
        <w:rPr>
          <w:rFonts w:ascii="Times New Roman" w:hAnsi="Times New Roman" w:cs="Times New Roman"/>
          <w:b/>
          <w:sz w:val="28"/>
          <w:szCs w:val="28"/>
        </w:rPr>
        <w:t>УСЛОВИЯ И ФАКТОРЫ ФОРМИРОВАНИЯ МЫШЛЕНИЯ ДЕТЕЙ СТАРШЕГО ДОШКОЛЬНОГО ВОЗРАСТА</w:t>
      </w:r>
    </w:p>
    <w:p w:rsidR="00612608" w:rsidRDefault="00612608" w:rsidP="00612608">
      <w:pPr>
        <w:spacing w:after="0" w:line="360" w:lineRule="auto"/>
        <w:jc w:val="center"/>
        <w:rPr>
          <w:rFonts w:ascii="Times New Roman" w:hAnsi="Times New Roman" w:cs="Times New Roman"/>
          <w:b/>
          <w:sz w:val="28"/>
          <w:szCs w:val="28"/>
        </w:rPr>
      </w:pPr>
    </w:p>
    <w:p w:rsidR="003147A1" w:rsidRDefault="00612608" w:rsidP="003147A1">
      <w:pPr>
        <w:spacing w:after="0" w:line="360" w:lineRule="auto"/>
        <w:jc w:val="right"/>
        <w:rPr>
          <w:rFonts w:ascii="Times New Roman" w:hAnsi="Times New Roman" w:cs="Times New Roman"/>
          <w:b/>
          <w:sz w:val="28"/>
          <w:szCs w:val="28"/>
        </w:rPr>
      </w:pPr>
      <w:proofErr w:type="spellStart"/>
      <w:r w:rsidRPr="00612608">
        <w:rPr>
          <w:rFonts w:ascii="Times New Roman" w:hAnsi="Times New Roman" w:cs="Times New Roman"/>
          <w:b/>
          <w:sz w:val="28"/>
          <w:szCs w:val="28"/>
        </w:rPr>
        <w:t>Шереметова</w:t>
      </w:r>
      <w:proofErr w:type="spellEnd"/>
      <w:r w:rsidRPr="00612608">
        <w:rPr>
          <w:rFonts w:ascii="Times New Roman" w:hAnsi="Times New Roman" w:cs="Times New Roman"/>
          <w:b/>
          <w:sz w:val="28"/>
          <w:szCs w:val="28"/>
        </w:rPr>
        <w:t xml:space="preserve"> Д. Д.</w:t>
      </w:r>
    </w:p>
    <w:p w:rsidR="003147A1" w:rsidRPr="003147A1" w:rsidRDefault="003147A1" w:rsidP="003147A1">
      <w:pPr>
        <w:pStyle w:val="Default"/>
        <w:spacing w:line="360" w:lineRule="auto"/>
        <w:rPr>
          <w:sz w:val="28"/>
          <w:szCs w:val="28"/>
        </w:rPr>
      </w:pPr>
      <w:r>
        <w:rPr>
          <w:sz w:val="28"/>
          <w:szCs w:val="28"/>
        </w:rPr>
        <w:t xml:space="preserve">                                                         </w:t>
      </w:r>
      <w:r w:rsidRPr="003147A1">
        <w:rPr>
          <w:sz w:val="28"/>
          <w:szCs w:val="28"/>
        </w:rPr>
        <w:t xml:space="preserve"> Магистрант кафедры «Общая и прикладная </w:t>
      </w:r>
    </w:p>
    <w:p w:rsidR="003147A1" w:rsidRPr="003147A1" w:rsidRDefault="003147A1" w:rsidP="003147A1">
      <w:pPr>
        <w:pStyle w:val="Default"/>
        <w:spacing w:line="360" w:lineRule="auto"/>
        <w:jc w:val="right"/>
        <w:rPr>
          <w:sz w:val="28"/>
          <w:szCs w:val="28"/>
        </w:rPr>
      </w:pPr>
      <w:r w:rsidRPr="003147A1">
        <w:rPr>
          <w:sz w:val="28"/>
          <w:szCs w:val="28"/>
        </w:rPr>
        <w:t xml:space="preserve">психология и педагогика» </w:t>
      </w:r>
    </w:p>
    <w:p w:rsidR="003147A1" w:rsidRPr="003147A1" w:rsidRDefault="003147A1" w:rsidP="003147A1">
      <w:pPr>
        <w:pStyle w:val="Default"/>
        <w:spacing w:line="360" w:lineRule="auto"/>
        <w:jc w:val="right"/>
        <w:rPr>
          <w:sz w:val="28"/>
          <w:szCs w:val="28"/>
        </w:rPr>
      </w:pPr>
      <w:r w:rsidRPr="003147A1">
        <w:rPr>
          <w:sz w:val="28"/>
          <w:szCs w:val="28"/>
        </w:rPr>
        <w:t>ФГАОУ ВО «</w:t>
      </w:r>
      <w:proofErr w:type="spellStart"/>
      <w:r w:rsidRPr="003147A1">
        <w:rPr>
          <w:sz w:val="28"/>
          <w:szCs w:val="28"/>
        </w:rPr>
        <w:t>СевГУ</w:t>
      </w:r>
      <w:proofErr w:type="spellEnd"/>
      <w:r w:rsidRPr="003147A1">
        <w:rPr>
          <w:sz w:val="28"/>
          <w:szCs w:val="28"/>
        </w:rPr>
        <w:t xml:space="preserve">» </w:t>
      </w:r>
    </w:p>
    <w:p w:rsidR="003147A1" w:rsidRDefault="003147A1" w:rsidP="003147A1">
      <w:pPr>
        <w:spacing w:after="0" w:line="360" w:lineRule="auto"/>
        <w:jc w:val="right"/>
        <w:rPr>
          <w:rFonts w:ascii="Times New Roman" w:hAnsi="Times New Roman" w:cs="Times New Roman"/>
          <w:sz w:val="28"/>
          <w:szCs w:val="28"/>
        </w:rPr>
      </w:pPr>
      <w:r w:rsidRPr="003147A1">
        <w:rPr>
          <w:rFonts w:ascii="Times New Roman" w:hAnsi="Times New Roman" w:cs="Times New Roman"/>
          <w:sz w:val="28"/>
          <w:szCs w:val="28"/>
        </w:rPr>
        <w:t>г. Севастополь</w:t>
      </w:r>
    </w:p>
    <w:p w:rsidR="001147B3" w:rsidRDefault="001147B3" w:rsidP="001147B3">
      <w:pPr>
        <w:spacing w:after="0" w:line="360" w:lineRule="auto"/>
        <w:ind w:firstLine="709"/>
        <w:jc w:val="both"/>
        <w:rPr>
          <w:rFonts w:ascii="Times New Roman" w:hAnsi="Times New Roman" w:cs="Times New Roman"/>
          <w:sz w:val="28"/>
          <w:szCs w:val="28"/>
        </w:rPr>
      </w:pPr>
    </w:p>
    <w:p w:rsidR="00FD3163" w:rsidRDefault="003147A1" w:rsidP="00FD3163">
      <w:pPr>
        <w:spacing w:after="0" w:line="360" w:lineRule="auto"/>
        <w:ind w:firstLine="709"/>
        <w:jc w:val="both"/>
      </w:pPr>
      <w:r w:rsidRPr="00FD3163">
        <w:rPr>
          <w:rFonts w:ascii="Times New Roman" w:hAnsi="Times New Roman" w:cs="Times New Roman"/>
          <w:b/>
          <w:sz w:val="28"/>
          <w:szCs w:val="28"/>
        </w:rPr>
        <w:t>Аннотация:</w:t>
      </w:r>
      <w:r w:rsidR="002A384A" w:rsidRPr="001147B3">
        <w:rPr>
          <w:rFonts w:ascii="Times New Roman" w:hAnsi="Times New Roman" w:cs="Times New Roman"/>
          <w:sz w:val="28"/>
          <w:szCs w:val="28"/>
        </w:rPr>
        <w:t xml:space="preserve"> </w:t>
      </w:r>
      <w:r w:rsidR="001147B3" w:rsidRPr="001147B3">
        <w:rPr>
          <w:rStyle w:val="a8"/>
          <w:rFonts w:ascii="Times New Roman" w:hAnsi="Times New Roman" w:cs="Times New Roman"/>
          <w:bCs/>
          <w:i w:val="0"/>
          <w:iCs w:val="0"/>
          <w:sz w:val="28"/>
          <w:szCs w:val="28"/>
          <w:shd w:val="clear" w:color="auto" w:fill="FFFFFF"/>
        </w:rPr>
        <w:t>с</w:t>
      </w:r>
      <w:r w:rsidR="002A384A" w:rsidRPr="001147B3">
        <w:rPr>
          <w:rStyle w:val="a8"/>
          <w:rFonts w:ascii="Times New Roman" w:hAnsi="Times New Roman" w:cs="Times New Roman"/>
          <w:bCs/>
          <w:i w:val="0"/>
          <w:iCs w:val="0"/>
          <w:sz w:val="28"/>
          <w:szCs w:val="28"/>
          <w:shd w:val="clear" w:color="auto" w:fill="FFFFFF"/>
        </w:rPr>
        <w:t>татья посвящена</w:t>
      </w:r>
      <w:r w:rsidR="002A384A" w:rsidRPr="001147B3">
        <w:rPr>
          <w:rFonts w:ascii="Times New Roman" w:hAnsi="Times New Roman" w:cs="Times New Roman"/>
          <w:sz w:val="28"/>
          <w:szCs w:val="28"/>
          <w:shd w:val="clear" w:color="auto" w:fill="FFFFFF"/>
        </w:rPr>
        <w:t xml:space="preserve"> описанию особенностей мыслительной деятельности </w:t>
      </w:r>
      <w:r w:rsidR="002A384A" w:rsidRPr="001147B3">
        <w:rPr>
          <w:rStyle w:val="a8"/>
          <w:rFonts w:ascii="Times New Roman" w:hAnsi="Times New Roman" w:cs="Times New Roman"/>
          <w:bCs/>
          <w:i w:val="0"/>
          <w:iCs w:val="0"/>
          <w:sz w:val="28"/>
          <w:szCs w:val="28"/>
          <w:shd w:val="clear" w:color="auto" w:fill="FFFFFF"/>
        </w:rPr>
        <w:t>детей старшего</w:t>
      </w:r>
      <w:r w:rsidR="001147B3" w:rsidRPr="001147B3">
        <w:rPr>
          <w:rStyle w:val="a8"/>
          <w:rFonts w:ascii="Times New Roman" w:hAnsi="Times New Roman" w:cs="Times New Roman"/>
          <w:bCs/>
          <w:i w:val="0"/>
          <w:iCs w:val="0"/>
          <w:sz w:val="28"/>
          <w:szCs w:val="28"/>
          <w:shd w:val="clear" w:color="auto" w:fill="FFFFFF"/>
        </w:rPr>
        <w:t xml:space="preserve"> </w:t>
      </w:r>
      <w:r w:rsidR="002A384A" w:rsidRPr="001147B3">
        <w:rPr>
          <w:rFonts w:ascii="Times New Roman" w:hAnsi="Times New Roman" w:cs="Times New Roman"/>
          <w:sz w:val="28"/>
          <w:szCs w:val="28"/>
          <w:shd w:val="clear" w:color="auto" w:fill="FFFFFF"/>
        </w:rPr>
        <w:t>дошкольного </w:t>
      </w:r>
      <w:r w:rsidR="002A384A" w:rsidRPr="001147B3">
        <w:rPr>
          <w:rStyle w:val="a8"/>
          <w:rFonts w:ascii="Times New Roman" w:hAnsi="Times New Roman" w:cs="Times New Roman"/>
          <w:bCs/>
          <w:i w:val="0"/>
          <w:iCs w:val="0"/>
          <w:sz w:val="28"/>
          <w:szCs w:val="28"/>
          <w:shd w:val="clear" w:color="auto" w:fill="FFFFFF"/>
        </w:rPr>
        <w:t>возраста</w:t>
      </w:r>
      <w:r w:rsidR="001147B3">
        <w:rPr>
          <w:rStyle w:val="a8"/>
          <w:rFonts w:ascii="Times New Roman" w:hAnsi="Times New Roman" w:cs="Times New Roman"/>
          <w:bCs/>
          <w:i w:val="0"/>
          <w:iCs w:val="0"/>
          <w:sz w:val="28"/>
          <w:szCs w:val="28"/>
          <w:shd w:val="clear" w:color="auto" w:fill="FFFFFF"/>
        </w:rPr>
        <w:t>. В данной статье рассмотрен</w:t>
      </w:r>
      <w:r w:rsidR="001147B3" w:rsidRPr="001147B3">
        <w:rPr>
          <w:rStyle w:val="a8"/>
          <w:rFonts w:ascii="Times New Roman" w:hAnsi="Times New Roman" w:cs="Times New Roman"/>
          <w:bCs/>
          <w:i w:val="0"/>
          <w:iCs w:val="0"/>
          <w:sz w:val="28"/>
          <w:szCs w:val="28"/>
          <w:shd w:val="clear" w:color="auto" w:fill="FFFFFF"/>
        </w:rPr>
        <w:t>ы условия и факторы</w:t>
      </w:r>
      <w:r w:rsidR="00FD3163">
        <w:rPr>
          <w:rStyle w:val="a8"/>
          <w:rFonts w:ascii="Times New Roman" w:hAnsi="Times New Roman" w:cs="Times New Roman"/>
          <w:bCs/>
          <w:i w:val="0"/>
          <w:iCs w:val="0"/>
          <w:sz w:val="28"/>
          <w:szCs w:val="28"/>
          <w:shd w:val="clear" w:color="auto" w:fill="FFFFFF"/>
        </w:rPr>
        <w:t>,</w:t>
      </w:r>
      <w:r w:rsidR="001147B3" w:rsidRPr="001147B3">
        <w:rPr>
          <w:rStyle w:val="a8"/>
          <w:rFonts w:ascii="Times New Roman" w:hAnsi="Times New Roman" w:cs="Times New Roman"/>
          <w:bCs/>
          <w:i w:val="0"/>
          <w:iCs w:val="0"/>
          <w:sz w:val="28"/>
          <w:szCs w:val="28"/>
          <w:shd w:val="clear" w:color="auto" w:fill="FFFFFF"/>
        </w:rPr>
        <w:t xml:space="preserve"> влияющие на формирование мышления детей.  </w:t>
      </w:r>
      <w:r w:rsidR="00FD3163" w:rsidRPr="002E6EE5">
        <w:rPr>
          <w:rFonts w:ascii="Times New Roman" w:hAnsi="Times New Roman" w:cs="Times New Roman"/>
          <w:sz w:val="28"/>
          <w:szCs w:val="28"/>
        </w:rPr>
        <w:t>Для наиболее успешной реализации возможностей головного мозга, человеку необходимо развивать оба полушария.</w:t>
      </w:r>
      <w:r w:rsidR="00FD3163">
        <w:rPr>
          <w:rFonts w:ascii="Times New Roman" w:hAnsi="Times New Roman" w:cs="Times New Roman"/>
          <w:sz w:val="28"/>
          <w:szCs w:val="28"/>
        </w:rPr>
        <w:t xml:space="preserve"> В ходе исследования, было выявлено, что </w:t>
      </w:r>
      <w:r w:rsidR="00FD3163" w:rsidRPr="00325C5B">
        <w:rPr>
          <w:rFonts w:ascii="Times New Roman" w:hAnsi="Times New Roman" w:cs="Times New Roman"/>
          <w:sz w:val="28"/>
          <w:szCs w:val="28"/>
        </w:rPr>
        <w:t xml:space="preserve"> </w:t>
      </w:r>
      <w:r w:rsidR="00FD3163">
        <w:rPr>
          <w:rFonts w:ascii="Times New Roman" w:hAnsi="Times New Roman" w:cs="Times New Roman"/>
          <w:sz w:val="28"/>
          <w:szCs w:val="28"/>
        </w:rPr>
        <w:t>м</w:t>
      </w:r>
      <w:r w:rsidR="00FD3163" w:rsidRPr="002E6EE5">
        <w:rPr>
          <w:rFonts w:ascii="Times New Roman" w:hAnsi="Times New Roman" w:cs="Times New Roman"/>
          <w:sz w:val="28"/>
          <w:szCs w:val="28"/>
        </w:rPr>
        <w:t xml:space="preserve">етодика устного счета </w:t>
      </w:r>
      <w:proofErr w:type="spellStart"/>
      <w:r w:rsidR="00FD3163" w:rsidRPr="002E6EE5">
        <w:rPr>
          <w:rFonts w:ascii="Times New Roman" w:hAnsi="Times New Roman" w:cs="Times New Roman"/>
          <w:sz w:val="28"/>
          <w:szCs w:val="28"/>
        </w:rPr>
        <w:t>Соробан</w:t>
      </w:r>
      <w:proofErr w:type="spellEnd"/>
      <w:r w:rsidR="00FD3163" w:rsidRPr="002E6EE5">
        <w:rPr>
          <w:rFonts w:ascii="Times New Roman" w:hAnsi="Times New Roman" w:cs="Times New Roman"/>
          <w:sz w:val="28"/>
          <w:szCs w:val="28"/>
        </w:rPr>
        <w:t xml:space="preserve">, </w:t>
      </w:r>
      <w:r w:rsidR="00FD3163">
        <w:rPr>
          <w:rFonts w:ascii="Times New Roman" w:hAnsi="Times New Roman" w:cs="Times New Roman"/>
          <w:sz w:val="28"/>
          <w:szCs w:val="28"/>
        </w:rPr>
        <w:t>которая</w:t>
      </w:r>
      <w:r w:rsidR="00FD3163" w:rsidRPr="002E6EE5">
        <w:rPr>
          <w:rFonts w:ascii="Times New Roman" w:hAnsi="Times New Roman" w:cs="Times New Roman"/>
          <w:sz w:val="28"/>
          <w:szCs w:val="28"/>
        </w:rPr>
        <w:t xml:space="preserve"> направлена на </w:t>
      </w:r>
      <w:r w:rsidR="00FD3163">
        <w:rPr>
          <w:rFonts w:ascii="Times New Roman" w:hAnsi="Times New Roman" w:cs="Times New Roman"/>
          <w:sz w:val="28"/>
          <w:szCs w:val="28"/>
        </w:rPr>
        <w:t xml:space="preserve">сбалансированное </w:t>
      </w:r>
      <w:r w:rsidR="00FD3163" w:rsidRPr="002E6EE5">
        <w:rPr>
          <w:rFonts w:ascii="Times New Roman" w:hAnsi="Times New Roman" w:cs="Times New Roman"/>
          <w:sz w:val="28"/>
          <w:szCs w:val="28"/>
        </w:rPr>
        <w:t xml:space="preserve">развитие обоих долей головного мозга ребенка, способствует развитию </w:t>
      </w:r>
      <w:r w:rsidR="00FD3163">
        <w:rPr>
          <w:rFonts w:ascii="Times New Roman" w:hAnsi="Times New Roman" w:cs="Times New Roman"/>
          <w:sz w:val="28"/>
          <w:szCs w:val="28"/>
        </w:rPr>
        <w:t>психических познавательных процессов.</w:t>
      </w:r>
      <w:r w:rsidR="00FD3163" w:rsidRPr="002E6EE5">
        <w:rPr>
          <w:rFonts w:ascii="Times New Roman" w:hAnsi="Times New Roman" w:cs="Times New Roman"/>
          <w:sz w:val="28"/>
          <w:szCs w:val="28"/>
        </w:rPr>
        <w:t xml:space="preserve"> </w:t>
      </w:r>
      <w:r w:rsidR="00FD3163">
        <w:rPr>
          <w:rFonts w:ascii="Times New Roman" w:hAnsi="Times New Roman" w:cs="Times New Roman"/>
          <w:sz w:val="28"/>
          <w:szCs w:val="28"/>
        </w:rPr>
        <w:t xml:space="preserve"> Применение методики благоприятно влияет на формирование памяти</w:t>
      </w:r>
      <w:r w:rsidR="00FD3163" w:rsidRPr="002E6EE5">
        <w:rPr>
          <w:rFonts w:ascii="Times New Roman" w:hAnsi="Times New Roman" w:cs="Times New Roman"/>
          <w:sz w:val="28"/>
          <w:szCs w:val="28"/>
        </w:rPr>
        <w:t xml:space="preserve">, </w:t>
      </w:r>
      <w:r w:rsidR="00FD3163">
        <w:rPr>
          <w:rFonts w:ascii="Times New Roman" w:hAnsi="Times New Roman" w:cs="Times New Roman"/>
          <w:sz w:val="28"/>
          <w:szCs w:val="28"/>
        </w:rPr>
        <w:t>внимания, воображения, воли</w:t>
      </w:r>
      <w:r w:rsidR="00FD3163" w:rsidRPr="002E6EE5">
        <w:rPr>
          <w:rFonts w:ascii="Times New Roman" w:hAnsi="Times New Roman" w:cs="Times New Roman"/>
          <w:sz w:val="28"/>
          <w:szCs w:val="28"/>
        </w:rPr>
        <w:t>, аналитическо</w:t>
      </w:r>
      <w:r w:rsidR="00FD3163">
        <w:rPr>
          <w:rFonts w:ascii="Times New Roman" w:hAnsi="Times New Roman" w:cs="Times New Roman"/>
          <w:sz w:val="28"/>
          <w:szCs w:val="28"/>
        </w:rPr>
        <w:t>го мышления</w:t>
      </w:r>
      <w:r w:rsidR="00FD3163" w:rsidRPr="002E6EE5">
        <w:rPr>
          <w:rFonts w:ascii="Times New Roman" w:hAnsi="Times New Roman" w:cs="Times New Roman"/>
          <w:sz w:val="28"/>
          <w:szCs w:val="28"/>
        </w:rPr>
        <w:t>, синтез</w:t>
      </w:r>
      <w:r w:rsidR="00FD3163">
        <w:rPr>
          <w:rFonts w:ascii="Times New Roman" w:hAnsi="Times New Roman" w:cs="Times New Roman"/>
          <w:sz w:val="28"/>
          <w:szCs w:val="28"/>
        </w:rPr>
        <w:t>а и  образного восприятия</w:t>
      </w:r>
      <w:r w:rsidR="00FD3163" w:rsidRPr="002E6EE5">
        <w:rPr>
          <w:rFonts w:ascii="Times New Roman" w:hAnsi="Times New Roman" w:cs="Times New Roman"/>
          <w:sz w:val="28"/>
          <w:szCs w:val="28"/>
        </w:rPr>
        <w:t>.</w:t>
      </w:r>
    </w:p>
    <w:p w:rsidR="00214479" w:rsidRPr="00536975" w:rsidRDefault="003147A1" w:rsidP="00FD3163">
      <w:pPr>
        <w:spacing w:after="0" w:line="360" w:lineRule="auto"/>
        <w:ind w:firstLine="709"/>
        <w:jc w:val="both"/>
        <w:rPr>
          <w:rFonts w:ascii="Times New Roman" w:hAnsi="Times New Roman" w:cs="Times New Roman"/>
          <w:sz w:val="28"/>
          <w:szCs w:val="28"/>
        </w:rPr>
      </w:pPr>
      <w:r w:rsidRPr="00FD3163">
        <w:rPr>
          <w:rFonts w:ascii="Times New Roman" w:hAnsi="Times New Roman" w:cs="Times New Roman"/>
          <w:b/>
          <w:sz w:val="28"/>
          <w:szCs w:val="28"/>
        </w:rPr>
        <w:t>Ключевые слова:</w:t>
      </w:r>
      <w:r w:rsidRPr="002A384A">
        <w:rPr>
          <w:rFonts w:ascii="Times New Roman" w:hAnsi="Times New Roman" w:cs="Times New Roman"/>
          <w:sz w:val="28"/>
          <w:szCs w:val="28"/>
        </w:rPr>
        <w:t xml:space="preserve"> мышление, дети старшего дошкольного возраста, мыслительная деятельность, игра, </w:t>
      </w:r>
      <w:r w:rsidR="002A384A">
        <w:rPr>
          <w:rFonts w:ascii="Times New Roman" w:hAnsi="Times New Roman" w:cs="Times New Roman"/>
          <w:sz w:val="28"/>
          <w:szCs w:val="28"/>
        </w:rPr>
        <w:t>формирование</w:t>
      </w:r>
      <w:r w:rsidR="002A384A" w:rsidRPr="002A384A">
        <w:rPr>
          <w:rFonts w:ascii="Times New Roman" w:hAnsi="Times New Roman" w:cs="Times New Roman"/>
          <w:sz w:val="28"/>
          <w:szCs w:val="28"/>
        </w:rPr>
        <w:t xml:space="preserve"> умственных действий</w:t>
      </w:r>
      <w:r w:rsidR="002A384A">
        <w:rPr>
          <w:rFonts w:ascii="Times New Roman" w:hAnsi="Times New Roman" w:cs="Times New Roman"/>
          <w:sz w:val="28"/>
          <w:szCs w:val="28"/>
        </w:rPr>
        <w:t xml:space="preserve">, </w:t>
      </w:r>
      <w:r w:rsidR="002A384A" w:rsidRPr="002A384A">
        <w:rPr>
          <w:rFonts w:ascii="Times New Roman" w:hAnsi="Times New Roman" w:cs="Times New Roman"/>
          <w:sz w:val="28"/>
          <w:szCs w:val="28"/>
        </w:rPr>
        <w:t xml:space="preserve"> образовательно воспитательная  среда</w:t>
      </w:r>
      <w:r w:rsidR="002A384A">
        <w:rPr>
          <w:rFonts w:ascii="Times New Roman" w:hAnsi="Times New Roman" w:cs="Times New Roman"/>
          <w:sz w:val="28"/>
          <w:szCs w:val="28"/>
        </w:rPr>
        <w:t>.</w:t>
      </w:r>
    </w:p>
    <w:p w:rsidR="00221624" w:rsidRPr="00536975" w:rsidRDefault="00221624" w:rsidP="00FD3163">
      <w:pPr>
        <w:spacing w:after="0" w:line="360" w:lineRule="auto"/>
        <w:ind w:firstLine="709"/>
        <w:jc w:val="both"/>
        <w:rPr>
          <w:rFonts w:ascii="Times New Roman" w:hAnsi="Times New Roman" w:cs="Times New Roman"/>
          <w:sz w:val="28"/>
          <w:szCs w:val="28"/>
        </w:rPr>
      </w:pPr>
    </w:p>
    <w:p w:rsidR="00FD3163" w:rsidRPr="00221624" w:rsidRDefault="00221624" w:rsidP="00221624">
      <w:pPr>
        <w:spacing w:after="0" w:line="360" w:lineRule="auto"/>
        <w:ind w:firstLine="709"/>
        <w:jc w:val="center"/>
        <w:rPr>
          <w:rFonts w:ascii="Times New Roman" w:hAnsi="Times New Roman" w:cs="Times New Roman"/>
          <w:b/>
          <w:sz w:val="28"/>
          <w:szCs w:val="28"/>
          <w:lang w:val="en-US"/>
        </w:rPr>
      </w:pPr>
      <w:r w:rsidRPr="00221624">
        <w:rPr>
          <w:rFonts w:ascii="Times New Roman" w:hAnsi="Times New Roman" w:cs="Times New Roman"/>
          <w:b/>
          <w:sz w:val="28"/>
          <w:szCs w:val="28"/>
          <w:lang w:val="en-US"/>
        </w:rPr>
        <w:t>THE CONDITIONS AND FACTORS OF THINKING FORMATION OF SENIOR PRESCHOOL AGE CHILDREN</w:t>
      </w:r>
    </w:p>
    <w:p w:rsidR="00FD3163" w:rsidRPr="00F00822" w:rsidRDefault="00FD3163" w:rsidP="00221624">
      <w:pPr>
        <w:spacing w:after="0" w:line="360" w:lineRule="auto"/>
        <w:ind w:firstLine="709"/>
        <w:jc w:val="right"/>
        <w:rPr>
          <w:rFonts w:ascii="Times New Roman" w:hAnsi="Times New Roman" w:cs="Times New Roman"/>
          <w:b/>
          <w:sz w:val="28"/>
          <w:szCs w:val="28"/>
          <w:lang w:val="en-US"/>
        </w:rPr>
      </w:pPr>
      <w:proofErr w:type="spellStart"/>
      <w:r w:rsidRPr="00F00822">
        <w:rPr>
          <w:rFonts w:ascii="Times New Roman" w:hAnsi="Times New Roman" w:cs="Times New Roman"/>
          <w:b/>
          <w:sz w:val="28"/>
          <w:szCs w:val="28"/>
          <w:lang w:val="en-US"/>
        </w:rPr>
        <w:t>Sheremetova</w:t>
      </w:r>
      <w:proofErr w:type="spellEnd"/>
      <w:r w:rsidRPr="00F00822">
        <w:rPr>
          <w:rFonts w:ascii="Times New Roman" w:hAnsi="Times New Roman" w:cs="Times New Roman"/>
          <w:b/>
          <w:sz w:val="28"/>
          <w:szCs w:val="28"/>
          <w:lang w:val="en-US"/>
        </w:rPr>
        <w:t xml:space="preserve"> D.D</w:t>
      </w:r>
    </w:p>
    <w:p w:rsidR="00FD3163" w:rsidRPr="00221624" w:rsidRDefault="00FD3163" w:rsidP="00FD3163">
      <w:pPr>
        <w:spacing w:after="0" w:line="360" w:lineRule="auto"/>
        <w:ind w:firstLine="709"/>
        <w:jc w:val="both"/>
        <w:rPr>
          <w:rFonts w:ascii="Times New Roman" w:hAnsi="Times New Roman" w:cs="Times New Roman"/>
          <w:sz w:val="28"/>
          <w:szCs w:val="28"/>
          <w:lang w:val="en-US"/>
        </w:rPr>
      </w:pPr>
      <w:r w:rsidRPr="00221624">
        <w:rPr>
          <w:rFonts w:ascii="Times New Roman" w:hAnsi="Times New Roman" w:cs="Times New Roman"/>
          <w:b/>
          <w:sz w:val="28"/>
          <w:szCs w:val="28"/>
          <w:lang w:val="en-US"/>
        </w:rPr>
        <w:lastRenderedPageBreak/>
        <w:t>Abstract:</w:t>
      </w:r>
      <w:r w:rsidRPr="00221624">
        <w:rPr>
          <w:rFonts w:ascii="Times New Roman" w:hAnsi="Times New Roman" w:cs="Times New Roman"/>
          <w:sz w:val="28"/>
          <w:szCs w:val="28"/>
          <w:lang w:val="en-US"/>
        </w:rPr>
        <w:t xml:space="preserve"> The article is devoted to the description of the features of mental activity of children of the senior preschool age. In this article, we consider the conditions and factors affecting the formation of children's thinking. For the most successful realization of the capabilities of the brain, a person needs to develop both hemispheres. In the course of the study, it was revealed that </w:t>
      </w:r>
      <w:proofErr w:type="spellStart"/>
      <w:r w:rsidRPr="00221624">
        <w:rPr>
          <w:rFonts w:ascii="Times New Roman" w:hAnsi="Times New Roman" w:cs="Times New Roman"/>
          <w:sz w:val="28"/>
          <w:szCs w:val="28"/>
          <w:lang w:val="en-US"/>
        </w:rPr>
        <w:t>Soroban's</w:t>
      </w:r>
      <w:proofErr w:type="spellEnd"/>
      <w:r w:rsidRPr="00221624">
        <w:rPr>
          <w:rFonts w:ascii="Times New Roman" w:hAnsi="Times New Roman" w:cs="Times New Roman"/>
          <w:sz w:val="28"/>
          <w:szCs w:val="28"/>
          <w:lang w:val="en-US"/>
        </w:rPr>
        <w:t xml:space="preserve"> oral account method, which is aimed at balanced development of both parts of the child's brain, promotes the development of mental cognitive processes. The application of the method favorably influences the formation of memory, attention, imagination, will, analytical thinking, synthesis and figurative perception.</w:t>
      </w:r>
    </w:p>
    <w:p w:rsidR="00110CDE" w:rsidRPr="00110CDE" w:rsidRDefault="00FD3163" w:rsidP="00110CDE">
      <w:pPr>
        <w:spacing w:after="0" w:line="360" w:lineRule="auto"/>
        <w:ind w:firstLine="709"/>
        <w:jc w:val="both"/>
        <w:rPr>
          <w:rFonts w:ascii="Times New Roman" w:hAnsi="Times New Roman" w:cs="Times New Roman"/>
          <w:sz w:val="28"/>
          <w:szCs w:val="28"/>
          <w:lang w:val="en-US"/>
        </w:rPr>
      </w:pPr>
      <w:r w:rsidRPr="00221624">
        <w:rPr>
          <w:rFonts w:ascii="Times New Roman" w:hAnsi="Times New Roman" w:cs="Times New Roman"/>
          <w:b/>
          <w:sz w:val="28"/>
          <w:szCs w:val="28"/>
          <w:lang w:val="en-US"/>
        </w:rPr>
        <w:t>Key words:</w:t>
      </w:r>
      <w:r w:rsidRPr="00221624">
        <w:rPr>
          <w:rFonts w:ascii="Times New Roman" w:hAnsi="Times New Roman" w:cs="Times New Roman"/>
          <w:sz w:val="28"/>
          <w:szCs w:val="28"/>
          <w:lang w:val="en-US"/>
        </w:rPr>
        <w:t xml:space="preserve"> thinking, children of the senior preschool age, thinking activity, play, formation of mental actions</w:t>
      </w:r>
      <w:proofErr w:type="gramStart"/>
      <w:r w:rsidRPr="00221624">
        <w:rPr>
          <w:rFonts w:ascii="Times New Roman" w:hAnsi="Times New Roman" w:cs="Times New Roman"/>
          <w:sz w:val="28"/>
          <w:szCs w:val="28"/>
          <w:lang w:val="en-US"/>
        </w:rPr>
        <w:t>,  educational</w:t>
      </w:r>
      <w:proofErr w:type="gramEnd"/>
      <w:r w:rsidRPr="00221624">
        <w:rPr>
          <w:rFonts w:ascii="Times New Roman" w:hAnsi="Times New Roman" w:cs="Times New Roman"/>
          <w:sz w:val="28"/>
          <w:szCs w:val="28"/>
          <w:lang w:val="en-US"/>
        </w:rPr>
        <w:t xml:space="preserve"> environment.</w:t>
      </w:r>
    </w:p>
    <w:p w:rsidR="00110CDE" w:rsidRPr="00536975" w:rsidRDefault="00110CDE" w:rsidP="00110CDE">
      <w:pPr>
        <w:spacing w:after="0" w:line="360" w:lineRule="auto"/>
        <w:ind w:firstLine="709"/>
        <w:jc w:val="both"/>
        <w:rPr>
          <w:rFonts w:ascii="Times New Roman" w:hAnsi="Times New Roman" w:cs="Times New Roman"/>
          <w:sz w:val="28"/>
          <w:szCs w:val="28"/>
          <w:lang w:val="en-US"/>
        </w:rPr>
      </w:pPr>
    </w:p>
    <w:p w:rsidR="00214479" w:rsidRPr="00536975" w:rsidRDefault="00214479" w:rsidP="00110CDE">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color w:val="000000" w:themeColor="text1"/>
          <w:sz w:val="28"/>
          <w:szCs w:val="28"/>
        </w:rPr>
        <w:t>Мыслительная деятельность дошкольников является важнейшим направлением психологических исследований периода дошкольного детства. Сегодня, всё большую значимость приобретают «механизмы» мыслительной деятельности человека, которые направленны на анализ сложных процессов происходящих в действительности, требующих всё больших усилий, в том числе и интеллектуальных.</w:t>
      </w:r>
    </w:p>
    <w:p w:rsidR="00214479" w:rsidRPr="002E6EE5" w:rsidRDefault="00214479" w:rsidP="00214479">
      <w:pPr>
        <w:spacing w:after="0" w:line="360" w:lineRule="auto"/>
        <w:ind w:firstLine="709"/>
        <w:jc w:val="both"/>
        <w:rPr>
          <w:rFonts w:ascii="Times New Roman" w:hAnsi="Times New Roman" w:cs="Times New Roman"/>
          <w:color w:val="000000" w:themeColor="text1"/>
          <w:sz w:val="28"/>
          <w:szCs w:val="28"/>
        </w:rPr>
      </w:pPr>
      <w:r w:rsidRPr="002E6EE5">
        <w:rPr>
          <w:rFonts w:ascii="Times New Roman" w:hAnsi="Times New Roman" w:cs="Times New Roman"/>
          <w:color w:val="000000" w:themeColor="text1"/>
          <w:sz w:val="28"/>
          <w:szCs w:val="28"/>
        </w:rPr>
        <w:t xml:space="preserve">Следовательно, изучение такой проблемы как мышление, условий и факторов его формирования  и развития, является актуальным направлением в психологии. Начиная с раннего детства, очевидна необходимость всестороннего и гармоничного развития детей, где важным   условием является </w:t>
      </w:r>
      <w:proofErr w:type="spellStart"/>
      <w:r w:rsidRPr="002E6EE5">
        <w:rPr>
          <w:rFonts w:ascii="Times New Roman" w:hAnsi="Times New Roman" w:cs="Times New Roman"/>
          <w:color w:val="000000" w:themeColor="text1"/>
          <w:sz w:val="28"/>
          <w:szCs w:val="28"/>
        </w:rPr>
        <w:t>сформированность</w:t>
      </w:r>
      <w:proofErr w:type="spellEnd"/>
      <w:r w:rsidRPr="002E6EE5">
        <w:rPr>
          <w:rFonts w:ascii="Times New Roman" w:hAnsi="Times New Roman" w:cs="Times New Roman"/>
          <w:color w:val="000000" w:themeColor="text1"/>
          <w:sz w:val="28"/>
          <w:szCs w:val="28"/>
        </w:rPr>
        <w:t xml:space="preserve"> мыслительных операций. Ведущим видом деятельности в дошкольном детстве является игра. Именно в игре у дошкольников совершенствуются и развиваются такой психический процесс как мышление.</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В конце 19, начале 20 века, </w:t>
      </w:r>
      <w:r w:rsidRPr="002E6EE5">
        <w:rPr>
          <w:rFonts w:ascii="Times New Roman" w:eastAsia="Times New Roman" w:hAnsi="Times New Roman" w:cs="Times New Roman"/>
          <w:sz w:val="28"/>
          <w:szCs w:val="28"/>
          <w:lang w:eastAsia="ru-RU"/>
        </w:rPr>
        <w:t xml:space="preserve">исследованием мышления начинают активно заниматься зарубежные </w:t>
      </w:r>
      <w:r w:rsidRPr="00357AE3">
        <w:rPr>
          <w:rFonts w:ascii="Times New Roman" w:eastAsia="Times New Roman" w:hAnsi="Times New Roman" w:cs="Times New Roman"/>
          <w:sz w:val="28"/>
          <w:szCs w:val="28"/>
          <w:lang w:eastAsia="ru-RU"/>
        </w:rPr>
        <w:t>ученые</w:t>
      </w:r>
      <w:r w:rsidR="009367BE" w:rsidRPr="00357AE3">
        <w:rPr>
          <w:rFonts w:ascii="Times New Roman" w:eastAsia="Times New Roman" w:hAnsi="Times New Roman" w:cs="Times New Roman"/>
          <w:sz w:val="28"/>
          <w:szCs w:val="28"/>
          <w:lang w:eastAsia="ru-RU"/>
        </w:rPr>
        <w:t xml:space="preserve"> [4</w:t>
      </w:r>
      <w:r w:rsidRPr="00357AE3">
        <w:rPr>
          <w:rFonts w:ascii="Times New Roman" w:eastAsia="Times New Roman" w:hAnsi="Times New Roman" w:cs="Times New Roman"/>
          <w:sz w:val="28"/>
          <w:szCs w:val="28"/>
          <w:lang w:eastAsia="ru-RU"/>
        </w:rPr>
        <w:t>,</w:t>
      </w:r>
      <w:r w:rsidR="009367BE" w:rsidRPr="00357AE3">
        <w:rPr>
          <w:rFonts w:ascii="Times New Roman" w:eastAsia="Times New Roman" w:hAnsi="Times New Roman" w:cs="Times New Roman"/>
          <w:sz w:val="28"/>
          <w:szCs w:val="28"/>
          <w:lang w:eastAsia="ru-RU"/>
        </w:rPr>
        <w:t>5],</w:t>
      </w:r>
      <w:r w:rsidRPr="002E6EE5">
        <w:rPr>
          <w:rFonts w:ascii="Times New Roman" w:eastAsia="Times New Roman" w:hAnsi="Times New Roman" w:cs="Times New Roman"/>
          <w:sz w:val="28"/>
          <w:szCs w:val="28"/>
          <w:lang w:eastAsia="ru-RU"/>
        </w:rPr>
        <w:t xml:space="preserve">  а </w:t>
      </w:r>
      <w:r w:rsidRPr="002E6EE5">
        <w:rPr>
          <w:rFonts w:ascii="Times New Roman" w:hAnsi="Times New Roman" w:cs="Times New Roman"/>
          <w:sz w:val="28"/>
          <w:szCs w:val="28"/>
        </w:rPr>
        <w:t xml:space="preserve">во второй половине 20 века, в данном направлении в значительной степени продвинулась и отечественная психология. </w:t>
      </w:r>
      <w:proofErr w:type="gramStart"/>
      <w:r w:rsidRPr="002E6EE5">
        <w:rPr>
          <w:rFonts w:ascii="Times New Roman" w:hAnsi="Times New Roman" w:cs="Times New Roman"/>
          <w:sz w:val="28"/>
          <w:szCs w:val="28"/>
        </w:rPr>
        <w:t>В настоящее время</w:t>
      </w:r>
      <w:r w:rsidR="00E41D8E">
        <w:rPr>
          <w:rFonts w:ascii="Times New Roman" w:hAnsi="Times New Roman" w:cs="Times New Roman"/>
          <w:sz w:val="28"/>
          <w:szCs w:val="28"/>
        </w:rPr>
        <w:t>,</w:t>
      </w:r>
      <w:r w:rsidRPr="002E6EE5">
        <w:rPr>
          <w:rFonts w:ascii="Times New Roman" w:hAnsi="Times New Roman" w:cs="Times New Roman"/>
          <w:sz w:val="28"/>
          <w:szCs w:val="28"/>
        </w:rPr>
        <w:t xml:space="preserve"> психологами накоплен и обобщен </w:t>
      </w:r>
      <w:r w:rsidRPr="002E6EE5">
        <w:rPr>
          <w:rFonts w:ascii="Times New Roman" w:hAnsi="Times New Roman" w:cs="Times New Roman"/>
          <w:sz w:val="28"/>
          <w:szCs w:val="28"/>
        </w:rPr>
        <w:lastRenderedPageBreak/>
        <w:t xml:space="preserve">богатейший материал по развитию детского мышления, это работы Л.С Выготского, </w:t>
      </w:r>
      <w:proofErr w:type="spellStart"/>
      <w:r w:rsidRPr="002E6EE5">
        <w:rPr>
          <w:rFonts w:ascii="Times New Roman" w:hAnsi="Times New Roman" w:cs="Times New Roman"/>
          <w:sz w:val="28"/>
          <w:szCs w:val="28"/>
        </w:rPr>
        <w:t>Ж.Пиаже</w:t>
      </w:r>
      <w:proofErr w:type="spellEnd"/>
      <w:r w:rsidRPr="002E6EE5">
        <w:rPr>
          <w:rFonts w:ascii="Times New Roman" w:hAnsi="Times New Roman" w:cs="Times New Roman"/>
          <w:sz w:val="28"/>
          <w:szCs w:val="28"/>
        </w:rPr>
        <w:t xml:space="preserve">, С.Л. </w:t>
      </w:r>
      <w:proofErr w:type="spellStart"/>
      <w:r w:rsidRPr="002E6EE5">
        <w:rPr>
          <w:rFonts w:ascii="Times New Roman" w:hAnsi="Times New Roman" w:cs="Times New Roman"/>
          <w:sz w:val="28"/>
          <w:szCs w:val="28"/>
        </w:rPr>
        <w:t>Рубенштейна</w:t>
      </w:r>
      <w:proofErr w:type="spellEnd"/>
      <w:r w:rsidRPr="002E6EE5">
        <w:rPr>
          <w:rFonts w:ascii="Times New Roman" w:hAnsi="Times New Roman" w:cs="Times New Roman"/>
          <w:sz w:val="28"/>
          <w:szCs w:val="28"/>
        </w:rPr>
        <w:t>, А.В. Запорожца, А.А. К.Д.</w:t>
      </w:r>
      <w:proofErr w:type="gramEnd"/>
      <w:r w:rsidR="00252AE2">
        <w:rPr>
          <w:rFonts w:ascii="Times New Roman" w:hAnsi="Times New Roman" w:cs="Times New Roman"/>
          <w:sz w:val="28"/>
          <w:szCs w:val="28"/>
        </w:rPr>
        <w:t xml:space="preserve"> </w:t>
      </w:r>
      <w:r w:rsidRPr="002E6EE5">
        <w:rPr>
          <w:rFonts w:ascii="Times New Roman" w:hAnsi="Times New Roman" w:cs="Times New Roman"/>
          <w:sz w:val="28"/>
          <w:szCs w:val="28"/>
        </w:rPr>
        <w:t xml:space="preserve">Ушинского, Д.Б. </w:t>
      </w:r>
      <w:proofErr w:type="spellStart"/>
      <w:r w:rsidRPr="002E6EE5">
        <w:rPr>
          <w:rFonts w:ascii="Times New Roman" w:hAnsi="Times New Roman" w:cs="Times New Roman"/>
          <w:sz w:val="28"/>
          <w:szCs w:val="28"/>
        </w:rPr>
        <w:t>Эльконина</w:t>
      </w:r>
      <w:proofErr w:type="spellEnd"/>
      <w:r w:rsidRPr="002E6EE5">
        <w:rPr>
          <w:rFonts w:ascii="Times New Roman" w:hAnsi="Times New Roman" w:cs="Times New Roman"/>
          <w:sz w:val="28"/>
          <w:szCs w:val="28"/>
        </w:rPr>
        <w:t xml:space="preserve">, П.Я. Гальперина, </w:t>
      </w:r>
      <w:r w:rsidR="00252AE2" w:rsidRPr="000944F2">
        <w:rPr>
          <w:rFonts w:ascii="Times New Roman" w:hAnsi="Times New Roman" w:cs="Times New Roman"/>
          <w:sz w:val="28"/>
          <w:szCs w:val="28"/>
          <w:shd w:val="clear" w:color="auto" w:fill="FFFFFF"/>
        </w:rPr>
        <w:t>А.Н.</w:t>
      </w:r>
      <w:r w:rsidR="00252AE2">
        <w:rPr>
          <w:rFonts w:ascii="Times New Roman" w:hAnsi="Times New Roman" w:cs="Times New Roman"/>
          <w:sz w:val="28"/>
          <w:szCs w:val="28"/>
          <w:shd w:val="clear" w:color="auto" w:fill="FFFFFF"/>
        </w:rPr>
        <w:t xml:space="preserve"> </w:t>
      </w:r>
      <w:proofErr w:type="spellStart"/>
      <w:r w:rsidR="00252AE2" w:rsidRPr="000944F2">
        <w:rPr>
          <w:rFonts w:ascii="Times New Roman" w:hAnsi="Times New Roman" w:cs="Times New Roman"/>
          <w:sz w:val="28"/>
          <w:szCs w:val="28"/>
          <w:shd w:val="clear" w:color="auto" w:fill="FFFFFF"/>
        </w:rPr>
        <w:t>Давидчук</w:t>
      </w:r>
      <w:proofErr w:type="spellEnd"/>
      <w:r w:rsidR="00252AE2" w:rsidRPr="000944F2">
        <w:rPr>
          <w:rFonts w:ascii="Times New Roman" w:hAnsi="Times New Roman" w:cs="Times New Roman"/>
          <w:sz w:val="28"/>
          <w:szCs w:val="28"/>
          <w:shd w:val="clear" w:color="auto" w:fill="FFFFFF"/>
        </w:rPr>
        <w:t xml:space="preserve">, </w:t>
      </w:r>
      <w:r w:rsidRPr="002E6EE5">
        <w:rPr>
          <w:rFonts w:ascii="Times New Roman" w:hAnsi="Times New Roman" w:cs="Times New Roman"/>
          <w:sz w:val="28"/>
          <w:szCs w:val="28"/>
        </w:rPr>
        <w:t>и других. Выделен и исследован целый ряд важных закономерностей процесса мышления у детей различных возрастов</w:t>
      </w:r>
      <w:r w:rsidR="00357AE3">
        <w:rPr>
          <w:rFonts w:ascii="Times New Roman" w:hAnsi="Times New Roman" w:cs="Times New Roman"/>
          <w:sz w:val="28"/>
          <w:szCs w:val="28"/>
        </w:rPr>
        <w:t xml:space="preserve"> </w:t>
      </w:r>
      <w:r w:rsidR="00357AE3" w:rsidRPr="009367BE">
        <w:rPr>
          <w:rFonts w:ascii="Times New Roman" w:eastAsia="Times New Roman" w:hAnsi="Times New Roman" w:cs="Times New Roman"/>
          <w:sz w:val="28"/>
          <w:szCs w:val="28"/>
          <w:lang w:eastAsia="ru-RU"/>
        </w:rPr>
        <w:t>[</w:t>
      </w:r>
      <w:r w:rsidR="00357AE3">
        <w:rPr>
          <w:rFonts w:ascii="Times New Roman" w:eastAsia="Times New Roman" w:hAnsi="Times New Roman" w:cs="Times New Roman"/>
          <w:sz w:val="28"/>
          <w:szCs w:val="28"/>
          <w:lang w:eastAsia="ru-RU"/>
        </w:rPr>
        <w:t>1-8</w:t>
      </w:r>
      <w:r w:rsidR="00357AE3" w:rsidRPr="009367BE">
        <w:rPr>
          <w:rFonts w:ascii="Times New Roman" w:eastAsia="Times New Roman" w:hAnsi="Times New Roman" w:cs="Times New Roman"/>
          <w:sz w:val="28"/>
          <w:szCs w:val="28"/>
          <w:lang w:eastAsia="ru-RU"/>
        </w:rPr>
        <w:t>]</w:t>
      </w:r>
      <w:r w:rsidRPr="002E6EE5">
        <w:rPr>
          <w:rFonts w:ascii="Times New Roman" w:hAnsi="Times New Roman" w:cs="Times New Roman"/>
          <w:sz w:val="28"/>
          <w:szCs w:val="28"/>
        </w:rPr>
        <w:t>. Результаты проведенных исследований дали возможность  обогатить общую теорию мышления и в целом психологию.</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Однако стоит отметить, что до сих пор не существует единого мнения по поводу уникальности, тех образовательных методик и  технологий, которые способствуют формированию мышления  наиболее значимо и целостно.  Когнитивная сфера включает в себя весь накопленный ребенком познавательный опыт. Он выступает определенным образом, как структурированная совокупность всех представлений и знаний детей, способов и мотивов их умственной деятельности. И от того, на сколько, правильно будут организованны условия, влияющие на развитие целостной работы двух полушарий головного мозга, а так же реализованы на практике, эти условия,</w:t>
      </w:r>
      <w:r w:rsidR="001935D5">
        <w:rPr>
          <w:rFonts w:ascii="Times New Roman" w:hAnsi="Times New Roman" w:cs="Times New Roman"/>
          <w:sz w:val="28"/>
          <w:szCs w:val="28"/>
        </w:rPr>
        <w:t xml:space="preserve"> во многом зависи</w:t>
      </w:r>
      <w:r w:rsidRPr="002E6EE5">
        <w:rPr>
          <w:rFonts w:ascii="Times New Roman" w:hAnsi="Times New Roman" w:cs="Times New Roman"/>
          <w:sz w:val="28"/>
          <w:szCs w:val="28"/>
        </w:rPr>
        <w:t xml:space="preserve">т  уровень </w:t>
      </w:r>
      <w:proofErr w:type="spellStart"/>
      <w:r w:rsidRPr="002E6EE5">
        <w:rPr>
          <w:rFonts w:ascii="Times New Roman" w:hAnsi="Times New Roman" w:cs="Times New Roman"/>
          <w:sz w:val="28"/>
          <w:szCs w:val="28"/>
        </w:rPr>
        <w:t>сформированности</w:t>
      </w:r>
      <w:proofErr w:type="spellEnd"/>
      <w:r w:rsidRPr="002E6EE5">
        <w:rPr>
          <w:rFonts w:ascii="Times New Roman" w:hAnsi="Times New Roman" w:cs="Times New Roman"/>
          <w:sz w:val="28"/>
          <w:szCs w:val="28"/>
        </w:rPr>
        <w:t xml:space="preserve"> мышления детей старшего дошкольного  возраста.</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Мозг человека двух полушарный, где левое полушарие отвечает за логику, память,  и концентрацию, а правое  за творческие способности и  эмоциональную сферу. Для наиболее успешной реализации возможностей головного мозга, человеку необходимо развивать оба полушария. Методика устного счета </w:t>
      </w:r>
      <w:proofErr w:type="spellStart"/>
      <w:r w:rsidRPr="002E6EE5">
        <w:rPr>
          <w:rFonts w:ascii="Times New Roman" w:hAnsi="Times New Roman" w:cs="Times New Roman"/>
          <w:sz w:val="28"/>
          <w:szCs w:val="28"/>
        </w:rPr>
        <w:t>Соробан</w:t>
      </w:r>
      <w:proofErr w:type="spellEnd"/>
      <w:r w:rsidRPr="002E6EE5">
        <w:rPr>
          <w:rFonts w:ascii="Times New Roman" w:hAnsi="Times New Roman" w:cs="Times New Roman"/>
          <w:sz w:val="28"/>
          <w:szCs w:val="28"/>
        </w:rPr>
        <w:t>,  направлена на гармоничное развитие обоих долей головного мозга ребенка, что способствует одновременному развитию всех навыков двух полушарий, таких как: память, концентрация внимания, воображение, воля, аналитическое мышление, синтез и  образное восприятие.</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Целью проведения эмпирического  исследования, стало обобщение и анализ  полученных результатов формирующего эксперимента направленного на выявление закономерностей повышения уровня таких видов мышления, как наглядно образного, наглядно действенного, </w:t>
      </w:r>
      <w:r w:rsidR="001935D5">
        <w:rPr>
          <w:rFonts w:ascii="Times New Roman" w:hAnsi="Times New Roman" w:cs="Times New Roman"/>
          <w:sz w:val="28"/>
          <w:szCs w:val="28"/>
        </w:rPr>
        <w:lastRenderedPageBreak/>
        <w:t>логического</w:t>
      </w:r>
      <w:r w:rsidRPr="002E6EE5">
        <w:rPr>
          <w:rFonts w:ascii="Times New Roman" w:hAnsi="Times New Roman" w:cs="Times New Roman"/>
          <w:sz w:val="28"/>
          <w:szCs w:val="28"/>
        </w:rPr>
        <w:t xml:space="preserve"> и творческо</w:t>
      </w:r>
      <w:r w:rsidR="001935D5">
        <w:rPr>
          <w:rFonts w:ascii="Times New Roman" w:hAnsi="Times New Roman" w:cs="Times New Roman"/>
          <w:sz w:val="28"/>
          <w:szCs w:val="28"/>
        </w:rPr>
        <w:t>го</w:t>
      </w:r>
      <w:r w:rsidRPr="002E6EE5">
        <w:rPr>
          <w:rFonts w:ascii="Times New Roman" w:hAnsi="Times New Roman" w:cs="Times New Roman"/>
          <w:sz w:val="28"/>
          <w:szCs w:val="28"/>
        </w:rPr>
        <w:t xml:space="preserve"> мышления, при условии применения в экспериментальной группе методики </w:t>
      </w:r>
      <w:proofErr w:type="spellStart"/>
      <w:r w:rsidRPr="002E6EE5">
        <w:rPr>
          <w:rFonts w:ascii="Times New Roman" w:hAnsi="Times New Roman" w:cs="Times New Roman"/>
          <w:sz w:val="28"/>
          <w:szCs w:val="28"/>
        </w:rPr>
        <w:t>Соробан</w:t>
      </w:r>
      <w:proofErr w:type="spellEnd"/>
      <w:r w:rsidRPr="002E6EE5">
        <w:rPr>
          <w:rFonts w:ascii="Times New Roman" w:hAnsi="Times New Roman" w:cs="Times New Roman"/>
          <w:sz w:val="28"/>
          <w:szCs w:val="28"/>
        </w:rPr>
        <w:t xml:space="preserve">, направленной на комплексное развитие мышления.  </w:t>
      </w:r>
    </w:p>
    <w:p w:rsidR="001255BC"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В ходе исследования, был использован диагностический инструментарий, направленный на измерение уровня мышления. Замеры проводились в начале и в конце эксперимента</w:t>
      </w:r>
      <w:r w:rsidR="00892881">
        <w:rPr>
          <w:rFonts w:ascii="Times New Roman" w:hAnsi="Times New Roman" w:cs="Times New Roman"/>
          <w:sz w:val="28"/>
          <w:szCs w:val="28"/>
        </w:rPr>
        <w:t xml:space="preserve">. </w:t>
      </w:r>
      <w:r w:rsidRPr="002E6EE5">
        <w:rPr>
          <w:rFonts w:ascii="Times New Roman" w:hAnsi="Times New Roman" w:cs="Times New Roman"/>
          <w:sz w:val="28"/>
          <w:szCs w:val="28"/>
        </w:rPr>
        <w:t>Для измерения наглядно действенного  мышления, была исполь</w:t>
      </w:r>
      <w:r w:rsidR="00892881">
        <w:rPr>
          <w:rFonts w:ascii="Times New Roman" w:hAnsi="Times New Roman" w:cs="Times New Roman"/>
          <w:sz w:val="28"/>
          <w:szCs w:val="28"/>
        </w:rPr>
        <w:t>зована методика «Вырежи фигуру»</w:t>
      </w:r>
      <w:r w:rsidR="00892881" w:rsidRPr="00892881">
        <w:rPr>
          <w:rFonts w:ascii="Times New Roman" w:hAnsi="Times New Roman" w:cs="Times New Roman"/>
          <w:sz w:val="28"/>
          <w:szCs w:val="28"/>
        </w:rPr>
        <w:t xml:space="preserve"> </w:t>
      </w:r>
      <w:r w:rsidR="00892881">
        <w:rPr>
          <w:rFonts w:ascii="Times New Roman" w:hAnsi="Times New Roman" w:cs="Times New Roman"/>
          <w:sz w:val="28"/>
          <w:szCs w:val="28"/>
        </w:rPr>
        <w:t>(</w:t>
      </w:r>
      <w:r w:rsidR="00DF5199">
        <w:rPr>
          <w:rFonts w:ascii="Times New Roman" w:hAnsi="Times New Roman" w:cs="Times New Roman"/>
          <w:sz w:val="28"/>
          <w:szCs w:val="28"/>
        </w:rPr>
        <w:t>рисунок</w:t>
      </w:r>
      <w:r w:rsidR="00892881">
        <w:rPr>
          <w:rFonts w:ascii="Times New Roman" w:hAnsi="Times New Roman" w:cs="Times New Roman"/>
          <w:sz w:val="28"/>
          <w:szCs w:val="28"/>
        </w:rPr>
        <w:t xml:space="preserve"> 1)</w:t>
      </w:r>
      <w:r w:rsidR="00892881" w:rsidRPr="002E6EE5">
        <w:rPr>
          <w:rFonts w:ascii="Times New Roman" w:hAnsi="Times New Roman" w:cs="Times New Roman"/>
          <w:sz w:val="28"/>
          <w:szCs w:val="28"/>
        </w:rPr>
        <w:t>.</w:t>
      </w:r>
    </w:p>
    <w:p w:rsidR="00DF5199" w:rsidRPr="000944F2" w:rsidRDefault="00DF5199" w:rsidP="00DF5199">
      <w:pPr>
        <w:spacing w:after="0" w:line="360" w:lineRule="auto"/>
        <w:ind w:firstLine="709"/>
        <w:jc w:val="both"/>
        <w:rPr>
          <w:rFonts w:ascii="Times New Roman" w:hAnsi="Times New Roman" w:cs="Times New Roman"/>
          <w:sz w:val="28"/>
          <w:szCs w:val="28"/>
        </w:rPr>
      </w:pPr>
      <w:r w:rsidRPr="000944F2">
        <w:rPr>
          <w:rFonts w:ascii="Times New Roman" w:hAnsi="Times New Roman" w:cs="Times New Roman"/>
          <w:noProof/>
          <w:sz w:val="28"/>
          <w:szCs w:val="28"/>
        </w:rPr>
        <w:drawing>
          <wp:inline distT="0" distB="0" distL="0" distR="0" wp14:anchorId="3E086604" wp14:editId="633E8BC8">
            <wp:extent cx="5144875" cy="2483893"/>
            <wp:effectExtent l="19050" t="0" r="17675"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5199" w:rsidRDefault="00DF5199" w:rsidP="00DF5199">
      <w:pPr>
        <w:pStyle w:val="1"/>
        <w:tabs>
          <w:tab w:val="left" w:pos="709"/>
        </w:tabs>
        <w:spacing w:line="360" w:lineRule="auto"/>
        <w:ind w:firstLine="709"/>
        <w:rPr>
          <w:sz w:val="28"/>
          <w:szCs w:val="28"/>
        </w:rPr>
      </w:pPr>
      <w:r w:rsidRPr="00DF5199">
        <w:rPr>
          <w:b/>
          <w:sz w:val="28"/>
          <w:szCs w:val="28"/>
        </w:rPr>
        <w:t xml:space="preserve">Рис. </w:t>
      </w:r>
      <w:r w:rsidRPr="00DF5199">
        <w:rPr>
          <w:b/>
          <w:sz w:val="28"/>
          <w:szCs w:val="28"/>
        </w:rPr>
        <w:t>1</w:t>
      </w:r>
      <w:r>
        <w:rPr>
          <w:sz w:val="28"/>
          <w:szCs w:val="28"/>
        </w:rPr>
        <w:t xml:space="preserve"> </w:t>
      </w:r>
      <w:r w:rsidRPr="000944F2">
        <w:rPr>
          <w:sz w:val="28"/>
          <w:szCs w:val="28"/>
        </w:rPr>
        <w:t>- Процентное соотношение уровней развития наглядно-действенного мышления детей в экспериментальной и контрольной группах после проведения формирующего этапа эксперимента</w:t>
      </w:r>
    </w:p>
    <w:p w:rsidR="00EF4566" w:rsidRDefault="00472739" w:rsidP="00EF4566">
      <w:pPr>
        <w:pStyle w:val="1"/>
        <w:tabs>
          <w:tab w:val="left" w:pos="709"/>
        </w:tabs>
        <w:spacing w:line="360" w:lineRule="auto"/>
        <w:ind w:firstLine="709"/>
        <w:rPr>
          <w:sz w:val="28"/>
          <w:szCs w:val="28"/>
        </w:rPr>
      </w:pPr>
      <w:r>
        <w:rPr>
          <w:sz w:val="28"/>
          <w:szCs w:val="28"/>
        </w:rPr>
        <w:t>Р</w:t>
      </w:r>
      <w:r w:rsidR="00536975" w:rsidRPr="000944F2">
        <w:rPr>
          <w:sz w:val="28"/>
          <w:szCs w:val="28"/>
        </w:rPr>
        <w:t>ез</w:t>
      </w:r>
      <w:r>
        <w:rPr>
          <w:sz w:val="28"/>
          <w:szCs w:val="28"/>
        </w:rPr>
        <w:t xml:space="preserve">ультаты повторного тестирования, показали </w:t>
      </w:r>
      <w:r w:rsidR="009833DC" w:rsidRPr="000944F2">
        <w:rPr>
          <w:sz w:val="28"/>
          <w:szCs w:val="28"/>
        </w:rPr>
        <w:t>что,</w:t>
      </w:r>
      <w:r w:rsidR="00536975" w:rsidRPr="000944F2">
        <w:rPr>
          <w:sz w:val="28"/>
          <w:szCs w:val="28"/>
        </w:rPr>
        <w:t xml:space="preserve"> как </w:t>
      </w:r>
      <w:r w:rsidR="00CA29A0">
        <w:rPr>
          <w:sz w:val="28"/>
          <w:szCs w:val="28"/>
        </w:rPr>
        <w:t xml:space="preserve">и </w:t>
      </w:r>
      <w:r w:rsidR="00536975" w:rsidRPr="000944F2">
        <w:rPr>
          <w:sz w:val="28"/>
          <w:szCs w:val="28"/>
        </w:rPr>
        <w:t xml:space="preserve">на первом этапе исследования по данному показателю не выявлено значимых различий между ЭГ и </w:t>
      </w:r>
      <w:proofErr w:type="gramStart"/>
      <w:r w:rsidR="00536975" w:rsidRPr="000944F2">
        <w:rPr>
          <w:sz w:val="28"/>
          <w:szCs w:val="28"/>
        </w:rPr>
        <w:t>КГ</w:t>
      </w:r>
      <w:proofErr w:type="gramEnd"/>
      <w:r w:rsidR="00536975" w:rsidRPr="000944F2">
        <w:rPr>
          <w:sz w:val="28"/>
          <w:szCs w:val="28"/>
        </w:rPr>
        <w:t xml:space="preserve">. Большинству детей характерно развитие данного показателя на среднем уровне (7 человек ЭГ, 9 человек </w:t>
      </w:r>
      <w:proofErr w:type="gramStart"/>
      <w:r w:rsidR="00536975" w:rsidRPr="000944F2">
        <w:rPr>
          <w:sz w:val="28"/>
          <w:szCs w:val="28"/>
        </w:rPr>
        <w:t>КГ</w:t>
      </w:r>
      <w:proofErr w:type="gramEnd"/>
      <w:r w:rsidR="00536975" w:rsidRPr="000944F2">
        <w:rPr>
          <w:sz w:val="28"/>
          <w:szCs w:val="28"/>
        </w:rPr>
        <w:t xml:space="preserve">). </w:t>
      </w:r>
    </w:p>
    <w:p w:rsidR="001255BC" w:rsidRPr="00273B88" w:rsidRDefault="00214479" w:rsidP="00273B88">
      <w:pPr>
        <w:spacing w:after="0" w:line="360" w:lineRule="auto"/>
        <w:ind w:firstLine="709"/>
        <w:jc w:val="both"/>
        <w:rPr>
          <w:rFonts w:ascii="Times New Roman" w:hAnsi="Times New Roman"/>
          <w:sz w:val="28"/>
          <w:szCs w:val="28"/>
          <w:highlight w:val="yellow"/>
        </w:rPr>
      </w:pPr>
      <w:r w:rsidRPr="00273B88">
        <w:rPr>
          <w:rFonts w:ascii="Times New Roman" w:hAnsi="Times New Roman" w:cs="Times New Roman"/>
          <w:sz w:val="28"/>
          <w:szCs w:val="28"/>
        </w:rPr>
        <w:t>Далее измерялось образно логическое мышление, с помощью методики «Раздел</w:t>
      </w:r>
      <w:r w:rsidR="00273B88">
        <w:rPr>
          <w:rFonts w:ascii="Times New Roman" w:hAnsi="Times New Roman" w:cs="Times New Roman"/>
          <w:sz w:val="28"/>
          <w:szCs w:val="28"/>
        </w:rPr>
        <w:t>и на группы»</w:t>
      </w:r>
      <w:r w:rsidR="00273B88" w:rsidRPr="00273B88">
        <w:rPr>
          <w:rFonts w:ascii="Times New Roman" w:hAnsi="Times New Roman" w:cs="Times New Roman"/>
          <w:sz w:val="28"/>
          <w:szCs w:val="28"/>
        </w:rPr>
        <w:t xml:space="preserve">. </w:t>
      </w:r>
      <w:r w:rsidR="00273B88" w:rsidRPr="00273B88">
        <w:rPr>
          <w:sz w:val="28"/>
          <w:szCs w:val="28"/>
        </w:rPr>
        <w:t xml:space="preserve"> </w:t>
      </w:r>
      <w:r w:rsidR="00273B88" w:rsidRPr="00273B88">
        <w:rPr>
          <w:rFonts w:ascii="Times New Roman" w:hAnsi="Times New Roman"/>
          <w:sz w:val="28"/>
          <w:szCs w:val="28"/>
        </w:rPr>
        <w:t>Большинству детей контрольной группы  (более 50%)  характерен средний уровень развития показателя</w:t>
      </w:r>
      <w:r w:rsidR="00273B88">
        <w:rPr>
          <w:rFonts w:ascii="Times New Roman" w:hAnsi="Times New Roman"/>
          <w:sz w:val="28"/>
          <w:szCs w:val="28"/>
        </w:rPr>
        <w:t>, как до эксперимента, так и после его завершения</w:t>
      </w:r>
      <w:r w:rsidR="00273B88">
        <w:rPr>
          <w:rFonts w:ascii="Times New Roman" w:hAnsi="Times New Roman" w:cs="Times New Roman"/>
          <w:sz w:val="28"/>
          <w:szCs w:val="28"/>
        </w:rPr>
        <w:t xml:space="preserve">. В контрольной группе увеличилось количество человек с высоким уровнем  показателя. </w:t>
      </w:r>
      <w:r w:rsidR="00273B88" w:rsidRPr="00C30A92">
        <w:rPr>
          <w:rFonts w:ascii="Times New Roman" w:hAnsi="Times New Roman" w:cs="Times New Roman"/>
          <w:sz w:val="28"/>
          <w:szCs w:val="28"/>
        </w:rPr>
        <w:t xml:space="preserve">Это </w:t>
      </w:r>
      <w:r w:rsidR="00C30A92">
        <w:rPr>
          <w:rFonts w:ascii="Times New Roman" w:hAnsi="Times New Roman" w:cs="Times New Roman"/>
          <w:sz w:val="28"/>
          <w:szCs w:val="28"/>
        </w:rPr>
        <w:t>показатель   положительной динамики</w:t>
      </w:r>
      <w:r w:rsidR="00C30A92" w:rsidRPr="00C30A92">
        <w:rPr>
          <w:rFonts w:ascii="Times New Roman" w:hAnsi="Times New Roman" w:cs="Times New Roman"/>
          <w:sz w:val="28"/>
          <w:szCs w:val="28"/>
        </w:rPr>
        <w:t xml:space="preserve"> развития образно – логического мышления детей экспериментальной </w:t>
      </w:r>
      <w:r w:rsidR="00EF4566" w:rsidRPr="00C30A92">
        <w:rPr>
          <w:rFonts w:ascii="Times New Roman" w:hAnsi="Times New Roman" w:cs="Times New Roman"/>
          <w:sz w:val="28"/>
          <w:szCs w:val="28"/>
        </w:rPr>
        <w:t xml:space="preserve"> </w:t>
      </w:r>
      <w:r w:rsidR="00C30A92" w:rsidRPr="00C30A92">
        <w:rPr>
          <w:rFonts w:ascii="Times New Roman" w:hAnsi="Times New Roman" w:cs="Times New Roman"/>
          <w:sz w:val="28"/>
          <w:szCs w:val="28"/>
        </w:rPr>
        <w:t xml:space="preserve">группы </w:t>
      </w:r>
      <w:r w:rsidR="001255BC" w:rsidRPr="00C30A92">
        <w:rPr>
          <w:rFonts w:ascii="Times New Roman" w:hAnsi="Times New Roman" w:cs="Times New Roman"/>
          <w:sz w:val="28"/>
          <w:szCs w:val="28"/>
        </w:rPr>
        <w:t>(рисунок 2).</w:t>
      </w:r>
    </w:p>
    <w:p w:rsidR="001255BC" w:rsidRDefault="007A6D97" w:rsidP="001255BC">
      <w:pPr>
        <w:pStyle w:val="1"/>
        <w:tabs>
          <w:tab w:val="left" w:pos="709"/>
        </w:tabs>
        <w:spacing w:line="360" w:lineRule="auto"/>
        <w:ind w:firstLine="709"/>
        <w:rPr>
          <w:sz w:val="28"/>
          <w:szCs w:val="28"/>
        </w:rPr>
      </w:pPr>
      <w:r w:rsidRPr="000944F2">
        <w:rPr>
          <w:noProof/>
          <w:sz w:val="28"/>
          <w:szCs w:val="28"/>
          <w:lang w:eastAsia="ru-RU"/>
        </w:rPr>
        <w:lastRenderedPageBreak/>
        <w:drawing>
          <wp:inline distT="0" distB="0" distL="0" distR="0" wp14:anchorId="094EB57B" wp14:editId="2B94F5E5">
            <wp:extent cx="5303577" cy="2852382"/>
            <wp:effectExtent l="19050" t="0" r="11373" b="5118"/>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6D97" w:rsidRDefault="001255BC" w:rsidP="005B3FC2">
      <w:pPr>
        <w:pStyle w:val="1"/>
        <w:tabs>
          <w:tab w:val="left" w:pos="709"/>
        </w:tabs>
        <w:spacing w:line="360" w:lineRule="auto"/>
        <w:ind w:firstLine="709"/>
        <w:rPr>
          <w:sz w:val="28"/>
          <w:szCs w:val="28"/>
        </w:rPr>
      </w:pPr>
      <w:r w:rsidRPr="001255BC">
        <w:rPr>
          <w:b/>
          <w:sz w:val="28"/>
          <w:szCs w:val="28"/>
        </w:rPr>
        <w:t>Рис. 2</w:t>
      </w:r>
      <w:r>
        <w:rPr>
          <w:sz w:val="28"/>
          <w:szCs w:val="28"/>
        </w:rPr>
        <w:t xml:space="preserve"> </w:t>
      </w:r>
      <w:r w:rsidRPr="000944F2">
        <w:rPr>
          <w:sz w:val="28"/>
          <w:szCs w:val="28"/>
        </w:rPr>
        <w:t xml:space="preserve">– </w:t>
      </w:r>
      <w:r w:rsidR="007A6D97" w:rsidRPr="000944F2">
        <w:rPr>
          <w:sz w:val="28"/>
          <w:szCs w:val="28"/>
        </w:rPr>
        <w:t>Процентное соотношение уровней развития наглядно-действенного мышления детей в экспериментальной и контрольной группах после проведения формирующего этапа эксперимента</w:t>
      </w:r>
      <w:r w:rsidR="007A6D97" w:rsidRPr="002E6EE5">
        <w:rPr>
          <w:sz w:val="28"/>
          <w:szCs w:val="28"/>
        </w:rPr>
        <w:t xml:space="preserve"> </w:t>
      </w:r>
    </w:p>
    <w:p w:rsidR="003E02C8" w:rsidRDefault="003E02C8" w:rsidP="005B3FC2">
      <w:pPr>
        <w:pStyle w:val="1"/>
        <w:tabs>
          <w:tab w:val="left" w:pos="709"/>
        </w:tabs>
        <w:spacing w:line="360" w:lineRule="auto"/>
        <w:ind w:firstLine="709"/>
        <w:rPr>
          <w:sz w:val="28"/>
          <w:szCs w:val="28"/>
        </w:rPr>
      </w:pPr>
      <w:r w:rsidRPr="000944F2">
        <w:rPr>
          <w:sz w:val="28"/>
          <w:szCs w:val="28"/>
        </w:rPr>
        <w:t xml:space="preserve">Далее </w:t>
      </w:r>
      <w:r>
        <w:rPr>
          <w:sz w:val="28"/>
          <w:szCs w:val="28"/>
        </w:rPr>
        <w:t>была осуществлена</w:t>
      </w:r>
      <w:r w:rsidRPr="000944F2">
        <w:rPr>
          <w:sz w:val="28"/>
          <w:szCs w:val="28"/>
        </w:rPr>
        <w:t xml:space="preserve"> повторная психодиагностика с </w:t>
      </w:r>
      <w:r>
        <w:rPr>
          <w:sz w:val="28"/>
          <w:szCs w:val="28"/>
        </w:rPr>
        <w:t>помощью</w:t>
      </w:r>
      <w:r w:rsidRPr="000944F2">
        <w:rPr>
          <w:sz w:val="28"/>
          <w:szCs w:val="28"/>
        </w:rPr>
        <w:t xml:space="preserve"> </w:t>
      </w:r>
      <w:r>
        <w:rPr>
          <w:sz w:val="28"/>
          <w:szCs w:val="28"/>
        </w:rPr>
        <w:t xml:space="preserve">методики  «Нелепицы» </w:t>
      </w:r>
      <w:proofErr w:type="spellStart"/>
      <w:r>
        <w:rPr>
          <w:sz w:val="28"/>
          <w:szCs w:val="28"/>
        </w:rPr>
        <w:t>Р.С.Немова</w:t>
      </w:r>
      <w:proofErr w:type="spellEnd"/>
      <w:r>
        <w:rPr>
          <w:sz w:val="28"/>
          <w:szCs w:val="28"/>
        </w:rPr>
        <w:t xml:space="preserve"> (рисунок 3).</w:t>
      </w:r>
    </w:p>
    <w:p w:rsidR="009E5B9B" w:rsidRPr="000944F2" w:rsidRDefault="009E5B9B" w:rsidP="009E5B9B">
      <w:pPr>
        <w:spacing w:after="0" w:line="360" w:lineRule="auto"/>
        <w:ind w:firstLine="709"/>
        <w:jc w:val="both"/>
        <w:rPr>
          <w:rFonts w:ascii="Times New Roman" w:hAnsi="Times New Roman" w:cs="Times New Roman"/>
          <w:sz w:val="28"/>
          <w:szCs w:val="28"/>
        </w:rPr>
      </w:pPr>
      <w:r w:rsidRPr="000944F2">
        <w:rPr>
          <w:rFonts w:ascii="Times New Roman" w:hAnsi="Times New Roman" w:cs="Times New Roman"/>
          <w:sz w:val="28"/>
          <w:szCs w:val="28"/>
        </w:rPr>
        <w:t>Анализирую полученные данные</w:t>
      </w:r>
      <w:r w:rsidR="003E02C8">
        <w:rPr>
          <w:rFonts w:ascii="Times New Roman" w:hAnsi="Times New Roman" w:cs="Times New Roman"/>
          <w:sz w:val="28"/>
          <w:szCs w:val="28"/>
        </w:rPr>
        <w:t xml:space="preserve">, </w:t>
      </w:r>
      <w:r w:rsidRPr="000944F2">
        <w:rPr>
          <w:rFonts w:ascii="Times New Roman" w:hAnsi="Times New Roman" w:cs="Times New Roman"/>
          <w:sz w:val="28"/>
          <w:szCs w:val="28"/>
        </w:rPr>
        <w:t xml:space="preserve"> можно сделать вывод, что появились различия по данному показателю</w:t>
      </w:r>
      <w:r w:rsidR="003E02C8">
        <w:rPr>
          <w:rFonts w:ascii="Times New Roman" w:hAnsi="Times New Roman" w:cs="Times New Roman"/>
          <w:sz w:val="28"/>
          <w:szCs w:val="28"/>
        </w:rPr>
        <w:t xml:space="preserve"> в группах</w:t>
      </w:r>
      <w:r w:rsidRPr="000944F2">
        <w:rPr>
          <w:rFonts w:ascii="Times New Roman" w:hAnsi="Times New Roman" w:cs="Times New Roman"/>
          <w:sz w:val="28"/>
          <w:szCs w:val="28"/>
        </w:rPr>
        <w:t>.</w:t>
      </w:r>
      <w:r>
        <w:rPr>
          <w:rFonts w:ascii="Times New Roman" w:hAnsi="Times New Roman" w:cs="Times New Roman"/>
          <w:sz w:val="28"/>
          <w:szCs w:val="28"/>
        </w:rPr>
        <w:t xml:space="preserve"> Результаты показывают, что </w:t>
      </w:r>
      <w:r w:rsidR="00A860C2">
        <w:rPr>
          <w:rFonts w:ascii="Times New Roman" w:hAnsi="Times New Roman" w:cs="Times New Roman"/>
          <w:sz w:val="28"/>
          <w:szCs w:val="28"/>
        </w:rPr>
        <w:t xml:space="preserve">в экспериментальной группе, в значительной степени выросли показатели с высокими и очень высокими значениями, в то время как в контрольной группе результаты большинства детей (60%), находятся в диапазоне со средними значениями.  </w:t>
      </w:r>
      <w:r>
        <w:rPr>
          <w:rFonts w:ascii="Times New Roman" w:hAnsi="Times New Roman" w:cs="Times New Roman"/>
          <w:sz w:val="28"/>
          <w:szCs w:val="28"/>
        </w:rPr>
        <w:t xml:space="preserve">Полученные данные говорят, о </w:t>
      </w:r>
      <w:r w:rsidR="009833DC">
        <w:rPr>
          <w:rFonts w:ascii="Times New Roman" w:hAnsi="Times New Roman" w:cs="Times New Roman"/>
          <w:sz w:val="28"/>
          <w:szCs w:val="28"/>
        </w:rPr>
        <w:t>том,</w:t>
      </w:r>
      <w:r>
        <w:rPr>
          <w:rFonts w:ascii="Times New Roman" w:hAnsi="Times New Roman" w:cs="Times New Roman"/>
          <w:sz w:val="28"/>
          <w:szCs w:val="28"/>
        </w:rPr>
        <w:t xml:space="preserve"> что существует положительная динамика показателя логического мышления, в экспериментальной группе</w:t>
      </w:r>
      <w:r w:rsidR="00A860C2">
        <w:rPr>
          <w:rFonts w:ascii="Times New Roman" w:hAnsi="Times New Roman" w:cs="Times New Roman"/>
          <w:sz w:val="28"/>
          <w:szCs w:val="28"/>
        </w:rPr>
        <w:t>.</w:t>
      </w:r>
    </w:p>
    <w:p w:rsidR="009E5B9B" w:rsidRDefault="009E5B9B" w:rsidP="005B3FC2">
      <w:pPr>
        <w:pStyle w:val="1"/>
        <w:tabs>
          <w:tab w:val="left" w:pos="709"/>
        </w:tabs>
        <w:spacing w:line="360" w:lineRule="auto"/>
        <w:ind w:firstLine="709"/>
        <w:rPr>
          <w:sz w:val="28"/>
          <w:szCs w:val="28"/>
        </w:rPr>
      </w:pPr>
    </w:p>
    <w:p w:rsidR="009E5B9B" w:rsidRPr="000944F2" w:rsidRDefault="009E5B9B" w:rsidP="009E5B9B">
      <w:pPr>
        <w:spacing w:after="0" w:line="360" w:lineRule="auto"/>
        <w:ind w:firstLine="709"/>
        <w:jc w:val="both"/>
        <w:rPr>
          <w:rFonts w:ascii="Times New Roman" w:hAnsi="Times New Roman" w:cs="Times New Roman"/>
          <w:sz w:val="28"/>
          <w:szCs w:val="28"/>
        </w:rPr>
      </w:pPr>
      <w:r w:rsidRPr="000944F2">
        <w:rPr>
          <w:rFonts w:ascii="Times New Roman" w:hAnsi="Times New Roman" w:cs="Times New Roman"/>
          <w:noProof/>
          <w:sz w:val="28"/>
          <w:szCs w:val="28"/>
        </w:rPr>
        <w:lastRenderedPageBreak/>
        <w:drawing>
          <wp:inline distT="0" distB="0" distL="0" distR="0" wp14:anchorId="7C6F5318" wp14:editId="55D3BFB2">
            <wp:extent cx="4572000" cy="2745441"/>
            <wp:effectExtent l="19050" t="0" r="1905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5B9B" w:rsidRPr="000944F2" w:rsidRDefault="009E5B9B" w:rsidP="009E5B9B">
      <w:pPr>
        <w:pStyle w:val="1"/>
        <w:tabs>
          <w:tab w:val="left" w:pos="709"/>
        </w:tabs>
        <w:spacing w:line="360" w:lineRule="auto"/>
        <w:ind w:firstLine="709"/>
        <w:rPr>
          <w:sz w:val="28"/>
          <w:szCs w:val="28"/>
        </w:rPr>
      </w:pPr>
      <w:r w:rsidRPr="009E5B9B">
        <w:rPr>
          <w:b/>
          <w:sz w:val="28"/>
          <w:szCs w:val="28"/>
        </w:rPr>
        <w:t xml:space="preserve">Рис. 3 </w:t>
      </w:r>
      <w:r w:rsidRPr="000944F2">
        <w:rPr>
          <w:sz w:val="28"/>
          <w:szCs w:val="28"/>
        </w:rPr>
        <w:t>- Процентное соотношение уровней логического мышления детей в экспериментальной и контрольной группах после проведения формирующего этапа эксперимента</w:t>
      </w:r>
    </w:p>
    <w:p w:rsidR="004E78BA" w:rsidRDefault="00214479" w:rsidP="005B3FC2">
      <w:pPr>
        <w:spacing w:after="0" w:line="360" w:lineRule="auto"/>
        <w:ind w:firstLine="709"/>
        <w:jc w:val="both"/>
        <w:rPr>
          <w:rFonts w:ascii="Times New Roman" w:hAnsi="Times New Roman" w:cs="Times New Roman"/>
          <w:sz w:val="28"/>
          <w:szCs w:val="28"/>
          <w:shd w:val="clear" w:color="auto" w:fill="FFFFFF"/>
        </w:rPr>
      </w:pPr>
      <w:r w:rsidRPr="002E6EE5">
        <w:rPr>
          <w:rFonts w:ascii="Times New Roman" w:hAnsi="Times New Roman" w:cs="Times New Roman"/>
          <w:sz w:val="28"/>
          <w:szCs w:val="28"/>
        </w:rPr>
        <w:t xml:space="preserve">Проведенный тест </w:t>
      </w:r>
      <w:r w:rsidRPr="002E6EE5">
        <w:rPr>
          <w:rFonts w:ascii="Times New Roman" w:hAnsi="Times New Roman" w:cs="Times New Roman"/>
          <w:sz w:val="28"/>
          <w:szCs w:val="28"/>
          <w:shd w:val="clear" w:color="auto" w:fill="FFFFFF"/>
        </w:rPr>
        <w:t>Е. </w:t>
      </w:r>
      <w:proofErr w:type="spellStart"/>
      <w:r w:rsidRPr="002E6EE5">
        <w:rPr>
          <w:rFonts w:ascii="Times New Roman" w:hAnsi="Times New Roman" w:cs="Times New Roman"/>
          <w:sz w:val="28"/>
          <w:szCs w:val="28"/>
          <w:shd w:val="clear" w:color="auto" w:fill="FFFFFF"/>
        </w:rPr>
        <w:t>Торренса</w:t>
      </w:r>
      <w:proofErr w:type="spellEnd"/>
      <w:r w:rsidRPr="002E6EE5">
        <w:rPr>
          <w:rFonts w:ascii="Times New Roman" w:hAnsi="Times New Roman" w:cs="Times New Roman"/>
          <w:sz w:val="28"/>
          <w:szCs w:val="28"/>
          <w:shd w:val="clear" w:color="auto" w:fill="FFFFFF"/>
        </w:rPr>
        <w:t xml:space="preserve">, направленный на диагностику творческого мышления, </w:t>
      </w:r>
      <w:r w:rsidR="004E78BA">
        <w:rPr>
          <w:rFonts w:ascii="Times New Roman" w:hAnsi="Times New Roman" w:cs="Times New Roman"/>
          <w:sz w:val="28"/>
          <w:szCs w:val="28"/>
          <w:shd w:val="clear" w:color="auto" w:fill="FFFFFF"/>
        </w:rPr>
        <w:t xml:space="preserve"> не </w:t>
      </w:r>
      <w:r w:rsidRPr="002E6EE5">
        <w:rPr>
          <w:rFonts w:ascii="Times New Roman" w:hAnsi="Times New Roman" w:cs="Times New Roman"/>
          <w:sz w:val="28"/>
          <w:szCs w:val="28"/>
          <w:shd w:val="clear" w:color="auto" w:fill="FFFFFF"/>
        </w:rPr>
        <w:t xml:space="preserve">показал </w:t>
      </w:r>
      <w:r w:rsidR="004E78BA">
        <w:rPr>
          <w:rFonts w:ascii="Times New Roman" w:hAnsi="Times New Roman" w:cs="Times New Roman"/>
          <w:sz w:val="28"/>
          <w:szCs w:val="28"/>
          <w:shd w:val="clear" w:color="auto" w:fill="FFFFFF"/>
        </w:rPr>
        <w:t xml:space="preserve">значимых различий между экспериментальной и контрольной группами. Однако стоит отметить, что в экспериментальной группе </w:t>
      </w:r>
      <w:r w:rsidR="00D60FAC">
        <w:rPr>
          <w:rFonts w:ascii="Times New Roman" w:hAnsi="Times New Roman" w:cs="Times New Roman"/>
          <w:sz w:val="28"/>
          <w:szCs w:val="28"/>
          <w:shd w:val="clear" w:color="auto" w:fill="FFFFFF"/>
        </w:rPr>
        <w:t xml:space="preserve">процент детей с высокими результатами по данному показателю, после проведения эксперимента возросло (рисунок 4). </w:t>
      </w:r>
    </w:p>
    <w:p w:rsidR="005B3FC2" w:rsidRDefault="007A6D97" w:rsidP="005B3FC2">
      <w:pPr>
        <w:spacing w:after="0" w:line="360" w:lineRule="auto"/>
        <w:ind w:firstLine="709"/>
        <w:jc w:val="both"/>
        <w:rPr>
          <w:rFonts w:ascii="Times New Roman" w:hAnsi="Times New Roman" w:cs="Times New Roman"/>
          <w:sz w:val="28"/>
          <w:szCs w:val="28"/>
        </w:rPr>
      </w:pPr>
      <w:r w:rsidRPr="000944F2">
        <w:rPr>
          <w:rFonts w:ascii="Times New Roman" w:hAnsi="Times New Roman" w:cs="Times New Roman"/>
          <w:noProof/>
          <w:sz w:val="28"/>
          <w:szCs w:val="28"/>
          <w:lang w:eastAsia="ru-RU"/>
        </w:rPr>
        <w:drawing>
          <wp:inline distT="0" distB="0" distL="0" distR="0" wp14:anchorId="6951DC9F" wp14:editId="0489C211">
            <wp:extent cx="4572000" cy="2745441"/>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D97" w:rsidRPr="007A6D97" w:rsidRDefault="007A6D97" w:rsidP="005B3FC2">
      <w:pPr>
        <w:spacing w:after="0" w:line="360" w:lineRule="auto"/>
        <w:ind w:firstLine="709"/>
        <w:jc w:val="both"/>
        <w:rPr>
          <w:rFonts w:ascii="Times New Roman" w:hAnsi="Times New Roman" w:cs="Times New Roman"/>
          <w:sz w:val="28"/>
          <w:szCs w:val="28"/>
        </w:rPr>
      </w:pPr>
      <w:r w:rsidRPr="007A6D97">
        <w:rPr>
          <w:rFonts w:ascii="Times New Roman" w:hAnsi="Times New Roman" w:cs="Times New Roman"/>
          <w:b/>
          <w:sz w:val="28"/>
          <w:szCs w:val="28"/>
        </w:rPr>
        <w:t xml:space="preserve">Рис. </w:t>
      </w:r>
      <w:r w:rsidR="005B3FC2" w:rsidRPr="007A6D97">
        <w:rPr>
          <w:rFonts w:ascii="Times New Roman" w:hAnsi="Times New Roman" w:cs="Times New Roman"/>
          <w:b/>
          <w:sz w:val="28"/>
          <w:szCs w:val="28"/>
        </w:rPr>
        <w:t>4</w:t>
      </w:r>
      <w:r w:rsidR="005B3FC2" w:rsidRPr="007A6D97">
        <w:rPr>
          <w:rFonts w:ascii="Times New Roman" w:hAnsi="Times New Roman" w:cs="Times New Roman"/>
          <w:sz w:val="28"/>
          <w:szCs w:val="28"/>
        </w:rPr>
        <w:t xml:space="preserve"> - </w:t>
      </w:r>
      <w:r w:rsidRPr="007A6D97">
        <w:rPr>
          <w:rFonts w:ascii="Times New Roman" w:hAnsi="Times New Roman" w:cs="Times New Roman"/>
          <w:sz w:val="28"/>
          <w:szCs w:val="28"/>
        </w:rPr>
        <w:t xml:space="preserve">Процентное соотношение уровней логического мышления детей в экспериментальной и контрольной группах после проведения формирующего этапа эксперимента </w:t>
      </w:r>
    </w:p>
    <w:p w:rsidR="00214479" w:rsidRPr="002E6EE5" w:rsidRDefault="00214479" w:rsidP="005B3FC2">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lastRenderedPageBreak/>
        <w:t xml:space="preserve">Результаты, полученные в ходе </w:t>
      </w:r>
      <w:r w:rsidRPr="00084014">
        <w:rPr>
          <w:rFonts w:ascii="Times New Roman" w:hAnsi="Times New Roman" w:cs="Times New Roman"/>
          <w:sz w:val="28"/>
          <w:szCs w:val="28"/>
        </w:rPr>
        <w:t>экспериментального исследования, проводимого в период с сентября 2016 года, по май 2017 года, показали  повышения уровня мышл</w:t>
      </w:r>
      <w:r w:rsidR="000F740F" w:rsidRPr="00084014">
        <w:rPr>
          <w:rFonts w:ascii="Times New Roman" w:hAnsi="Times New Roman" w:cs="Times New Roman"/>
          <w:sz w:val="28"/>
          <w:szCs w:val="28"/>
        </w:rPr>
        <w:t>ения в экспериментальной группе</w:t>
      </w:r>
      <w:r w:rsidR="00084014" w:rsidRPr="00084014">
        <w:rPr>
          <w:rFonts w:ascii="Times New Roman" w:hAnsi="Times New Roman" w:cs="Times New Roman"/>
          <w:sz w:val="28"/>
          <w:szCs w:val="28"/>
        </w:rPr>
        <w:t xml:space="preserve">, где была применена методика </w:t>
      </w:r>
      <w:proofErr w:type="spellStart"/>
      <w:r w:rsidR="00084014" w:rsidRPr="00084014">
        <w:rPr>
          <w:rFonts w:ascii="Times New Roman" w:hAnsi="Times New Roman" w:cs="Times New Roman"/>
          <w:sz w:val="28"/>
          <w:szCs w:val="28"/>
        </w:rPr>
        <w:t>Соробан</w:t>
      </w:r>
      <w:proofErr w:type="spellEnd"/>
      <w:r w:rsidR="00084014" w:rsidRPr="00084014">
        <w:rPr>
          <w:rFonts w:ascii="Times New Roman" w:hAnsi="Times New Roman" w:cs="Times New Roman"/>
          <w:sz w:val="28"/>
          <w:szCs w:val="28"/>
        </w:rPr>
        <w:t xml:space="preserve"> </w:t>
      </w:r>
      <w:r w:rsidR="00084014" w:rsidRPr="00084014">
        <w:rPr>
          <w:rFonts w:ascii="Times New Roman" w:hAnsi="Times New Roman" w:cs="Times New Roman"/>
          <w:sz w:val="28"/>
          <w:szCs w:val="28"/>
        </w:rPr>
        <w:t>в образовательно – воспитательно</w:t>
      </w:r>
      <w:r w:rsidR="00084014" w:rsidRPr="00084014">
        <w:rPr>
          <w:rFonts w:ascii="Times New Roman" w:hAnsi="Times New Roman" w:cs="Times New Roman"/>
          <w:sz w:val="28"/>
          <w:szCs w:val="28"/>
        </w:rPr>
        <w:t>м процессе</w:t>
      </w:r>
      <w:r w:rsidR="000F740F" w:rsidRPr="00084014">
        <w:rPr>
          <w:rFonts w:ascii="Times New Roman" w:hAnsi="Times New Roman" w:cs="Times New Roman"/>
          <w:sz w:val="28"/>
          <w:szCs w:val="28"/>
        </w:rPr>
        <w:t>.</w:t>
      </w:r>
      <w:r w:rsidRPr="002E6EE5">
        <w:rPr>
          <w:rFonts w:ascii="Times New Roman" w:hAnsi="Times New Roman" w:cs="Times New Roman"/>
          <w:sz w:val="28"/>
          <w:szCs w:val="28"/>
        </w:rPr>
        <w:t xml:space="preserve"> </w:t>
      </w:r>
      <w:r w:rsidR="00084014">
        <w:rPr>
          <w:rFonts w:ascii="Times New Roman" w:hAnsi="Times New Roman" w:cs="Times New Roman"/>
          <w:sz w:val="28"/>
          <w:szCs w:val="28"/>
        </w:rPr>
        <w:t xml:space="preserve"> </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В целом можно сказать, что мышление рассматривается, как процесс познания, посредствам которого входящие сенсорные данные подвергаются обработке, редукции, трансформации, накоплению и воспроизведению. Возрастные изменения в совокупности с  систематическим обучением и расширением кругозора, способствует развитию таких способностей как, прогнозирование, планирование, обобщение, умозаключение. Оптимально организованные условия и факторы, где среда развития обеспечивает ребенку рост когнитивной активности, позволяет задать дальнейший вектор всей предстоящей познавательной деятельности. В процессе становления мышления, основным является использование мыслительных действий и их развитие.</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Педагоги и психологи, работая с детьми, должны понимать, что один и тот же процесс одновременно может быть интеллектуальным, эмоциональным и волевым. В связи с этим выстраивать </w:t>
      </w:r>
      <w:proofErr w:type="spellStart"/>
      <w:r w:rsidRPr="002E6EE5">
        <w:rPr>
          <w:rFonts w:ascii="Times New Roman" w:hAnsi="Times New Roman" w:cs="Times New Roman"/>
          <w:sz w:val="28"/>
          <w:szCs w:val="28"/>
        </w:rPr>
        <w:t>когнитивно</w:t>
      </w:r>
      <w:proofErr w:type="spellEnd"/>
      <w:r w:rsidRPr="002E6EE5">
        <w:rPr>
          <w:rFonts w:ascii="Times New Roman" w:hAnsi="Times New Roman" w:cs="Times New Roman"/>
          <w:sz w:val="28"/>
          <w:szCs w:val="28"/>
        </w:rPr>
        <w:t xml:space="preserve"> развивающую траекторию, с учетом данных особенностей.</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Одним из главных условий формирования мышления, выступают знания и накопленный опыт, обеспечивающие необходимое поведение, однако стоит сказать, что даже самый простой факт познания, не будет возможен без определенного уровня активности, которая способствует ознакомлению, усвоению и закреплению новых знаний, обеспечивая проявления в познавательной деятельности ребенка, возможность инициативной формирующей активности. </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 А.Н. Леонтьев, рассматривал роль деятельности, в психическом становлении ребенка, его положение гласит, о том, что в деятельности развиваются те психические функции, уровень развития которых, и влияет на успех выполнен</w:t>
      </w:r>
      <w:r w:rsidR="00D5181B">
        <w:rPr>
          <w:rFonts w:ascii="Times New Roman" w:hAnsi="Times New Roman" w:cs="Times New Roman"/>
          <w:sz w:val="28"/>
          <w:szCs w:val="28"/>
        </w:rPr>
        <w:t>ия деятельности, соответственно</w:t>
      </w:r>
      <w:r w:rsidRPr="002E6EE5">
        <w:rPr>
          <w:rFonts w:ascii="Times New Roman" w:hAnsi="Times New Roman" w:cs="Times New Roman"/>
          <w:sz w:val="28"/>
          <w:szCs w:val="28"/>
        </w:rPr>
        <w:t xml:space="preserve"> </w:t>
      </w:r>
      <w:r w:rsidR="00D5181B" w:rsidRPr="002E6EE5">
        <w:rPr>
          <w:rFonts w:ascii="Times New Roman" w:hAnsi="Times New Roman" w:cs="Times New Roman"/>
          <w:sz w:val="28"/>
          <w:szCs w:val="28"/>
        </w:rPr>
        <w:t>то,</w:t>
      </w:r>
      <w:r w:rsidRPr="002E6EE5">
        <w:rPr>
          <w:rFonts w:ascii="Times New Roman" w:hAnsi="Times New Roman" w:cs="Times New Roman"/>
          <w:sz w:val="28"/>
          <w:szCs w:val="28"/>
        </w:rPr>
        <w:t xml:space="preserve"> что мы хотим развивать </w:t>
      </w:r>
      <w:r w:rsidRPr="002E6EE5">
        <w:rPr>
          <w:rFonts w:ascii="Times New Roman" w:hAnsi="Times New Roman" w:cs="Times New Roman"/>
          <w:sz w:val="28"/>
          <w:szCs w:val="28"/>
        </w:rPr>
        <w:lastRenderedPageBreak/>
        <w:t>в ребенке, на первых этапах должно являться предметом специальной деятельности</w:t>
      </w:r>
      <w:r w:rsidR="00CD5F1E">
        <w:rPr>
          <w:rFonts w:ascii="Times New Roman" w:hAnsi="Times New Roman" w:cs="Times New Roman"/>
          <w:sz w:val="28"/>
          <w:szCs w:val="28"/>
        </w:rPr>
        <w:t xml:space="preserve"> </w:t>
      </w:r>
      <w:r w:rsidR="00CD5F1E">
        <w:rPr>
          <w:rFonts w:ascii="Times New Roman" w:hAnsi="Times New Roman" w:cs="Times New Roman"/>
          <w:sz w:val="28"/>
          <w:szCs w:val="28"/>
        </w:rPr>
        <w:t>[</w:t>
      </w:r>
      <w:r w:rsidR="0050389F">
        <w:rPr>
          <w:rFonts w:ascii="Times New Roman" w:hAnsi="Times New Roman" w:cs="Times New Roman"/>
          <w:sz w:val="28"/>
          <w:szCs w:val="28"/>
        </w:rPr>
        <w:t>3</w:t>
      </w:r>
      <w:r w:rsidR="00CD5F1E" w:rsidRPr="00B44399">
        <w:rPr>
          <w:rFonts w:ascii="Times New Roman" w:hAnsi="Times New Roman" w:cs="Times New Roman"/>
          <w:sz w:val="28"/>
          <w:szCs w:val="28"/>
        </w:rPr>
        <w:t>]</w:t>
      </w:r>
      <w:r w:rsidRPr="002E6EE5">
        <w:rPr>
          <w:rFonts w:ascii="Times New Roman" w:hAnsi="Times New Roman" w:cs="Times New Roman"/>
          <w:sz w:val="28"/>
          <w:szCs w:val="28"/>
        </w:rPr>
        <w:t>. Именно эти принципы должны быть учтены при формировании и организации методов, условий и факторов способствующих формированию мышления.</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При применении методики </w:t>
      </w:r>
      <w:proofErr w:type="spellStart"/>
      <w:r w:rsidRPr="002E6EE5">
        <w:rPr>
          <w:rFonts w:ascii="Times New Roman" w:hAnsi="Times New Roman" w:cs="Times New Roman"/>
          <w:sz w:val="28"/>
          <w:szCs w:val="28"/>
        </w:rPr>
        <w:t>Соробан</w:t>
      </w:r>
      <w:proofErr w:type="spellEnd"/>
      <w:r w:rsidRPr="002E6EE5">
        <w:rPr>
          <w:rFonts w:ascii="Times New Roman" w:hAnsi="Times New Roman" w:cs="Times New Roman"/>
          <w:sz w:val="28"/>
          <w:szCs w:val="28"/>
        </w:rPr>
        <w:t>, волевой компонент когнитивной активности, способствует развитию инициативности и самостоятельности, в свою очередь, это способствует развитию сознания и формированию самооценки, как значимых регуляторов поведения детей старшего дошкольного возраста.</w:t>
      </w:r>
    </w:p>
    <w:p w:rsidR="00214479" w:rsidRPr="002E6EE5" w:rsidRDefault="00214479" w:rsidP="00214479">
      <w:pPr>
        <w:spacing w:after="0" w:line="360" w:lineRule="auto"/>
        <w:ind w:firstLine="709"/>
        <w:jc w:val="both"/>
        <w:rPr>
          <w:rFonts w:ascii="Times New Roman" w:hAnsi="Times New Roman" w:cs="Times New Roman"/>
          <w:sz w:val="28"/>
          <w:szCs w:val="28"/>
        </w:rPr>
      </w:pPr>
      <w:r w:rsidRPr="002E6EE5">
        <w:rPr>
          <w:rFonts w:ascii="Times New Roman" w:hAnsi="Times New Roman" w:cs="Times New Roman"/>
          <w:sz w:val="28"/>
          <w:szCs w:val="28"/>
        </w:rPr>
        <w:t xml:space="preserve">Подводя итоги, следует сказать, что обучение даёт наилучший развивающий эффект, при условии усвоения новых знаний активным способом, в процессе практической деятельности. Образовательно воспитательная  среда, должна обеспечивать те условия и факторы, которые способствуют планомерному  и эффективному формированию умственных действий. Как показали результаты проводимого исследования, применение методики </w:t>
      </w:r>
      <w:proofErr w:type="spellStart"/>
      <w:r w:rsidRPr="002E6EE5">
        <w:rPr>
          <w:rFonts w:ascii="Times New Roman" w:hAnsi="Times New Roman" w:cs="Times New Roman"/>
          <w:sz w:val="28"/>
          <w:szCs w:val="28"/>
        </w:rPr>
        <w:t>Соробан</w:t>
      </w:r>
      <w:proofErr w:type="spellEnd"/>
      <w:r w:rsidRPr="002E6EE5">
        <w:rPr>
          <w:rFonts w:ascii="Times New Roman" w:hAnsi="Times New Roman" w:cs="Times New Roman"/>
          <w:sz w:val="28"/>
          <w:szCs w:val="28"/>
        </w:rPr>
        <w:t xml:space="preserve"> даёт возможность эффективного развития мышления.</w:t>
      </w:r>
    </w:p>
    <w:p w:rsidR="00770526" w:rsidRDefault="00770526"/>
    <w:p w:rsidR="00770526" w:rsidRDefault="00770526" w:rsidP="00770526">
      <w:pPr>
        <w:pStyle w:val="Default"/>
        <w:spacing w:line="360" w:lineRule="auto"/>
        <w:jc w:val="center"/>
        <w:rPr>
          <w:b/>
          <w:sz w:val="28"/>
          <w:szCs w:val="28"/>
        </w:rPr>
      </w:pPr>
      <w:r w:rsidRPr="00211928">
        <w:rPr>
          <w:b/>
          <w:sz w:val="28"/>
          <w:szCs w:val="28"/>
        </w:rPr>
        <w:t>Список  литературы:</w:t>
      </w:r>
    </w:p>
    <w:p w:rsidR="00357AE3" w:rsidRPr="00357AE3" w:rsidRDefault="00357AE3" w:rsidP="00357AE3">
      <w:pPr>
        <w:pStyle w:val="ac"/>
        <w:numPr>
          <w:ilvl w:val="0"/>
          <w:numId w:val="1"/>
        </w:numPr>
        <w:spacing w:after="0" w:line="360" w:lineRule="auto"/>
        <w:ind w:left="0" w:firstLine="709"/>
        <w:jc w:val="both"/>
        <w:rPr>
          <w:rFonts w:ascii="Times New Roman" w:hAnsi="Times New Roman" w:cs="Times New Roman"/>
          <w:sz w:val="28"/>
          <w:szCs w:val="28"/>
          <w:shd w:val="clear" w:color="auto" w:fill="FFFFFF"/>
        </w:rPr>
      </w:pPr>
      <w:r w:rsidRPr="000944F2">
        <w:rPr>
          <w:rFonts w:ascii="Times New Roman" w:hAnsi="Times New Roman" w:cs="Times New Roman"/>
          <w:sz w:val="28"/>
          <w:szCs w:val="28"/>
          <w:shd w:val="clear" w:color="auto" w:fill="FFFFFF"/>
        </w:rPr>
        <w:t xml:space="preserve">Выготский, Л.С. Развитие высших психических функций / Л.С. Выготский. М.: Изд-во Академии педагогических наук, 1999. - 500 с. </w:t>
      </w:r>
    </w:p>
    <w:p w:rsidR="00252AE2" w:rsidRDefault="00252AE2" w:rsidP="00252AE2">
      <w:pPr>
        <w:pStyle w:val="ac"/>
        <w:numPr>
          <w:ilvl w:val="0"/>
          <w:numId w:val="1"/>
        </w:numPr>
        <w:shd w:val="clear" w:color="auto" w:fill="FFFFFF" w:themeFill="background1"/>
        <w:spacing w:after="0" w:line="360" w:lineRule="auto"/>
        <w:ind w:left="0" w:firstLine="709"/>
        <w:jc w:val="both"/>
        <w:rPr>
          <w:rFonts w:ascii="Times New Roman" w:hAnsi="Times New Roman" w:cs="Times New Roman"/>
          <w:sz w:val="28"/>
          <w:szCs w:val="28"/>
          <w:shd w:val="clear" w:color="auto" w:fill="FFFFFF"/>
        </w:rPr>
      </w:pPr>
      <w:proofErr w:type="spellStart"/>
      <w:r w:rsidRPr="000944F2">
        <w:rPr>
          <w:rFonts w:ascii="Times New Roman" w:hAnsi="Times New Roman" w:cs="Times New Roman"/>
          <w:sz w:val="28"/>
          <w:szCs w:val="28"/>
          <w:shd w:val="clear" w:color="auto" w:fill="FFFFFF"/>
        </w:rPr>
        <w:t>Давидчук</w:t>
      </w:r>
      <w:proofErr w:type="spellEnd"/>
      <w:r w:rsidRPr="000944F2">
        <w:rPr>
          <w:rFonts w:ascii="Times New Roman" w:hAnsi="Times New Roman" w:cs="Times New Roman"/>
          <w:sz w:val="28"/>
          <w:szCs w:val="28"/>
          <w:shd w:val="clear" w:color="auto" w:fill="FFFFFF"/>
        </w:rPr>
        <w:t xml:space="preserve">, А.Н. Познавательное развитие дошкольников в игре / А.Н. </w:t>
      </w:r>
      <w:proofErr w:type="spellStart"/>
      <w:r w:rsidRPr="000944F2">
        <w:rPr>
          <w:rFonts w:ascii="Times New Roman" w:hAnsi="Times New Roman" w:cs="Times New Roman"/>
          <w:sz w:val="28"/>
          <w:szCs w:val="28"/>
          <w:shd w:val="clear" w:color="auto" w:fill="FFFFFF"/>
        </w:rPr>
        <w:t>Давидчук</w:t>
      </w:r>
      <w:proofErr w:type="spellEnd"/>
      <w:r w:rsidRPr="000944F2">
        <w:rPr>
          <w:rFonts w:ascii="Times New Roman" w:hAnsi="Times New Roman" w:cs="Times New Roman"/>
          <w:sz w:val="28"/>
          <w:szCs w:val="28"/>
          <w:shd w:val="clear" w:color="auto" w:fill="FFFFFF"/>
        </w:rPr>
        <w:t xml:space="preserve">. - М.: Творческий центр Сфера, 2013. - 96 c. </w:t>
      </w:r>
    </w:p>
    <w:p w:rsidR="00252AE2" w:rsidRPr="00252AE2" w:rsidRDefault="004710CA" w:rsidP="00252AE2">
      <w:pPr>
        <w:pStyle w:val="ac"/>
        <w:numPr>
          <w:ilvl w:val="0"/>
          <w:numId w:val="1"/>
        </w:numPr>
        <w:shd w:val="clear" w:color="auto" w:fill="FFFFFF" w:themeFill="background1"/>
        <w:spacing w:after="0" w:line="360" w:lineRule="auto"/>
        <w:ind w:left="0" w:firstLine="709"/>
        <w:jc w:val="both"/>
        <w:rPr>
          <w:rFonts w:ascii="Times New Roman" w:hAnsi="Times New Roman" w:cs="Times New Roman"/>
          <w:sz w:val="28"/>
          <w:szCs w:val="28"/>
          <w:shd w:val="clear" w:color="auto" w:fill="FFFFFF"/>
        </w:rPr>
      </w:pPr>
      <w:r w:rsidRPr="00252AE2">
        <w:rPr>
          <w:rFonts w:ascii="Times New Roman" w:hAnsi="Times New Roman" w:cs="Times New Roman"/>
          <w:sz w:val="28"/>
          <w:szCs w:val="28"/>
        </w:rPr>
        <w:t xml:space="preserve">Запорожец А.В., </w:t>
      </w:r>
      <w:proofErr w:type="spellStart"/>
      <w:r w:rsidRPr="00252AE2">
        <w:rPr>
          <w:rFonts w:ascii="Times New Roman" w:hAnsi="Times New Roman" w:cs="Times New Roman"/>
          <w:sz w:val="28"/>
          <w:szCs w:val="28"/>
        </w:rPr>
        <w:t>Неверович</w:t>
      </w:r>
      <w:proofErr w:type="spellEnd"/>
      <w:r w:rsidRPr="00252AE2">
        <w:rPr>
          <w:rFonts w:ascii="Times New Roman" w:hAnsi="Times New Roman" w:cs="Times New Roman"/>
          <w:sz w:val="28"/>
          <w:szCs w:val="28"/>
        </w:rPr>
        <w:t xml:space="preserve">, Я.З. О генезисе функции и структуре эмоциональных процессов ребенка А.В. Запорожец, Я.З. </w:t>
      </w:r>
      <w:proofErr w:type="spellStart"/>
      <w:r w:rsidRPr="00252AE2">
        <w:rPr>
          <w:rFonts w:ascii="Times New Roman" w:hAnsi="Times New Roman" w:cs="Times New Roman"/>
          <w:sz w:val="28"/>
          <w:szCs w:val="28"/>
        </w:rPr>
        <w:t>Неверович</w:t>
      </w:r>
      <w:proofErr w:type="spellEnd"/>
      <w:r w:rsidRPr="00252AE2">
        <w:rPr>
          <w:rFonts w:ascii="Times New Roman" w:hAnsi="Times New Roman" w:cs="Times New Roman"/>
          <w:sz w:val="28"/>
          <w:szCs w:val="28"/>
        </w:rPr>
        <w:t>.- Вопросы психологии - 2009. - № 6. - 59-73с</w:t>
      </w:r>
    </w:p>
    <w:p w:rsidR="00252AE2" w:rsidRDefault="00F77A4C" w:rsidP="00252AE2">
      <w:pPr>
        <w:pStyle w:val="ac"/>
        <w:numPr>
          <w:ilvl w:val="0"/>
          <w:numId w:val="1"/>
        </w:numPr>
        <w:shd w:val="clear" w:color="auto" w:fill="FFFFFF" w:themeFill="background1"/>
        <w:spacing w:after="0" w:line="360" w:lineRule="auto"/>
        <w:ind w:left="0" w:firstLine="709"/>
        <w:jc w:val="both"/>
        <w:rPr>
          <w:rFonts w:ascii="Times New Roman" w:hAnsi="Times New Roman" w:cs="Times New Roman"/>
          <w:sz w:val="28"/>
          <w:szCs w:val="28"/>
          <w:shd w:val="clear" w:color="auto" w:fill="FFFFFF"/>
        </w:rPr>
      </w:pPr>
      <w:r w:rsidRPr="00357AE3">
        <w:rPr>
          <w:rFonts w:ascii="Times New Roman" w:hAnsi="Times New Roman" w:cs="Times New Roman"/>
          <w:sz w:val="28"/>
          <w:szCs w:val="28"/>
          <w:shd w:val="clear" w:color="auto" w:fill="FFFFFF"/>
        </w:rPr>
        <w:t>Леонтьев,</w:t>
      </w:r>
      <w:r w:rsidRPr="00252AE2">
        <w:rPr>
          <w:rFonts w:ascii="Times New Roman" w:hAnsi="Times New Roman" w:cs="Times New Roman"/>
          <w:sz w:val="28"/>
          <w:szCs w:val="28"/>
          <w:shd w:val="clear" w:color="auto" w:fill="FFFFFF"/>
        </w:rPr>
        <w:t xml:space="preserve"> А. Н. Д</w:t>
      </w:r>
      <w:r w:rsidRPr="00252AE2">
        <w:rPr>
          <w:rFonts w:ascii="Times New Roman" w:hAnsi="Times New Roman" w:cs="Times New Roman"/>
          <w:sz w:val="28"/>
          <w:szCs w:val="28"/>
          <w:shd w:val="clear" w:color="auto" w:fill="FFFFFF"/>
        </w:rPr>
        <w:t>еятельность. Сознание. Личность</w:t>
      </w:r>
      <w:r w:rsidRPr="00252AE2">
        <w:rPr>
          <w:rFonts w:ascii="Times New Roman" w:hAnsi="Times New Roman" w:cs="Times New Roman"/>
          <w:sz w:val="28"/>
          <w:szCs w:val="28"/>
          <w:shd w:val="clear" w:color="auto" w:fill="FFFFFF"/>
        </w:rPr>
        <w:t xml:space="preserve">: «Психология» / А. Н. Леонтьев. – М.: Смысл, 2004. – 345 с. </w:t>
      </w:r>
    </w:p>
    <w:p w:rsidR="00357AE3" w:rsidRPr="00357AE3" w:rsidRDefault="00357AE3" w:rsidP="00357AE3">
      <w:pPr>
        <w:numPr>
          <w:ilvl w:val="0"/>
          <w:numId w:val="1"/>
        </w:numPr>
        <w:spacing w:after="0" w:line="360" w:lineRule="auto"/>
        <w:ind w:left="0" w:firstLine="709"/>
        <w:jc w:val="both"/>
        <w:rPr>
          <w:rFonts w:ascii="Times New Roman" w:eastAsia="Times New Roman" w:hAnsi="Times New Roman" w:cs="Times New Roman"/>
          <w:sz w:val="28"/>
          <w:szCs w:val="28"/>
        </w:rPr>
      </w:pPr>
      <w:r w:rsidRPr="00E52DDD">
        <w:rPr>
          <w:rFonts w:ascii="Times New Roman" w:eastAsia="Times New Roman" w:hAnsi="Times New Roman" w:cs="Times New Roman"/>
          <w:sz w:val="28"/>
          <w:szCs w:val="28"/>
        </w:rPr>
        <w:t>Мухина В.С. Психология дошкольника. - М., 1975.</w:t>
      </w:r>
    </w:p>
    <w:p w:rsidR="00252AE2" w:rsidRPr="009367BE" w:rsidRDefault="00252AE2" w:rsidP="00252AE2">
      <w:pPr>
        <w:pStyle w:val="ac"/>
        <w:numPr>
          <w:ilvl w:val="0"/>
          <w:numId w:val="1"/>
        </w:numPr>
        <w:shd w:val="clear" w:color="auto" w:fill="FFFFFF" w:themeFill="background1"/>
        <w:spacing w:after="0" w:line="360" w:lineRule="auto"/>
        <w:ind w:left="0" w:firstLine="709"/>
        <w:jc w:val="both"/>
        <w:rPr>
          <w:rFonts w:ascii="Times New Roman" w:hAnsi="Times New Roman" w:cs="Times New Roman"/>
          <w:sz w:val="28"/>
          <w:szCs w:val="28"/>
          <w:shd w:val="clear" w:color="auto" w:fill="FFFFFF"/>
        </w:rPr>
      </w:pPr>
      <w:r w:rsidRPr="00252AE2">
        <w:rPr>
          <w:rFonts w:ascii="Times New Roman" w:eastAsia="Times New Roman" w:hAnsi="Times New Roman" w:cs="Times New Roman"/>
          <w:sz w:val="28"/>
          <w:szCs w:val="28"/>
        </w:rPr>
        <w:t>Пиаже Ж. Речь и мышление ребенка. - СПб</w:t>
      </w:r>
      <w:proofErr w:type="gramStart"/>
      <w:r w:rsidRPr="00252AE2">
        <w:rPr>
          <w:rFonts w:ascii="Times New Roman" w:eastAsia="Times New Roman" w:hAnsi="Times New Roman" w:cs="Times New Roman"/>
          <w:sz w:val="28"/>
          <w:szCs w:val="28"/>
        </w:rPr>
        <w:t xml:space="preserve">., </w:t>
      </w:r>
      <w:proofErr w:type="gramEnd"/>
      <w:r w:rsidRPr="00252AE2">
        <w:rPr>
          <w:rFonts w:ascii="Times New Roman" w:eastAsia="Times New Roman" w:hAnsi="Times New Roman" w:cs="Times New Roman"/>
          <w:sz w:val="28"/>
          <w:szCs w:val="28"/>
        </w:rPr>
        <w:t>1997. - 256 с.</w:t>
      </w:r>
    </w:p>
    <w:p w:rsidR="009367BE" w:rsidRPr="009367BE" w:rsidRDefault="009367BE" w:rsidP="009367BE">
      <w:pPr>
        <w:pStyle w:val="ac"/>
        <w:numPr>
          <w:ilvl w:val="0"/>
          <w:numId w:val="1"/>
        </w:numPr>
        <w:shd w:val="clear" w:color="auto" w:fill="FFFFFF" w:themeFill="background1"/>
        <w:spacing w:after="0" w:line="360" w:lineRule="auto"/>
        <w:ind w:left="0" w:firstLine="709"/>
        <w:jc w:val="both"/>
        <w:rPr>
          <w:rFonts w:ascii="Times New Roman" w:hAnsi="Times New Roman" w:cs="Times New Roman"/>
          <w:sz w:val="28"/>
          <w:szCs w:val="28"/>
          <w:shd w:val="clear" w:color="auto" w:fill="FFFFFF"/>
        </w:rPr>
      </w:pPr>
      <w:proofErr w:type="spellStart"/>
      <w:r w:rsidRPr="000944F2">
        <w:rPr>
          <w:rFonts w:ascii="Times New Roman" w:hAnsi="Times New Roman" w:cs="Times New Roman"/>
          <w:sz w:val="28"/>
          <w:szCs w:val="28"/>
          <w:shd w:val="clear" w:color="auto" w:fill="FFFFFF"/>
        </w:rPr>
        <w:lastRenderedPageBreak/>
        <w:t>Рибо</w:t>
      </w:r>
      <w:proofErr w:type="spellEnd"/>
      <w:r w:rsidRPr="000944F2">
        <w:rPr>
          <w:rFonts w:ascii="Times New Roman" w:hAnsi="Times New Roman" w:cs="Times New Roman"/>
          <w:sz w:val="28"/>
          <w:szCs w:val="28"/>
          <w:shd w:val="clear" w:color="auto" w:fill="FFFFFF"/>
        </w:rPr>
        <w:t xml:space="preserve"> Т. Психология внимания [Текст] /</w:t>
      </w:r>
      <w:proofErr w:type="spellStart"/>
      <w:r w:rsidRPr="000944F2">
        <w:rPr>
          <w:rFonts w:ascii="Times New Roman" w:hAnsi="Times New Roman" w:cs="Times New Roman"/>
          <w:sz w:val="28"/>
          <w:szCs w:val="28"/>
          <w:shd w:val="clear" w:color="auto" w:fill="FFFFFF"/>
        </w:rPr>
        <w:t>Т.Рибо</w:t>
      </w:r>
      <w:proofErr w:type="spellEnd"/>
      <w:r w:rsidRPr="000944F2">
        <w:rPr>
          <w:rFonts w:ascii="Times New Roman" w:hAnsi="Times New Roman" w:cs="Times New Roman"/>
          <w:sz w:val="28"/>
          <w:szCs w:val="28"/>
          <w:shd w:val="clear" w:color="auto" w:fill="FFFFFF"/>
        </w:rPr>
        <w:t>. - СПб</w:t>
      </w:r>
      <w:proofErr w:type="gramStart"/>
      <w:r w:rsidRPr="000944F2">
        <w:rPr>
          <w:rFonts w:ascii="Times New Roman" w:hAnsi="Times New Roman" w:cs="Times New Roman"/>
          <w:sz w:val="28"/>
          <w:szCs w:val="28"/>
          <w:shd w:val="clear" w:color="auto" w:fill="FFFFFF"/>
        </w:rPr>
        <w:t xml:space="preserve">.: </w:t>
      </w:r>
      <w:proofErr w:type="gramEnd"/>
      <w:r w:rsidRPr="000944F2">
        <w:rPr>
          <w:rFonts w:ascii="Times New Roman" w:hAnsi="Times New Roman" w:cs="Times New Roman"/>
          <w:sz w:val="28"/>
          <w:szCs w:val="28"/>
          <w:shd w:val="clear" w:color="auto" w:fill="FFFFFF"/>
        </w:rPr>
        <w:t>Изд-во Ф. Павленкова, 1980. - 369 с.</w:t>
      </w:r>
    </w:p>
    <w:p w:rsidR="00770526" w:rsidRPr="00252AE2" w:rsidRDefault="00252AE2" w:rsidP="00770526">
      <w:pPr>
        <w:pStyle w:val="ac"/>
        <w:numPr>
          <w:ilvl w:val="0"/>
          <w:numId w:val="1"/>
        </w:numPr>
        <w:shd w:val="clear" w:color="auto" w:fill="FFFFFF" w:themeFill="background1"/>
        <w:spacing w:after="0" w:line="360" w:lineRule="auto"/>
        <w:ind w:left="0" w:firstLine="709"/>
        <w:jc w:val="both"/>
        <w:rPr>
          <w:rFonts w:ascii="Times New Roman" w:hAnsi="Times New Roman" w:cs="Times New Roman"/>
          <w:sz w:val="28"/>
          <w:szCs w:val="28"/>
          <w:shd w:val="clear" w:color="auto" w:fill="FFFFFF"/>
        </w:rPr>
      </w:pPr>
      <w:proofErr w:type="spellStart"/>
      <w:r w:rsidRPr="00252AE2">
        <w:rPr>
          <w:rFonts w:ascii="Times New Roman" w:hAnsi="Times New Roman" w:cs="Times New Roman"/>
          <w:sz w:val="28"/>
          <w:szCs w:val="28"/>
          <w:shd w:val="clear" w:color="auto" w:fill="FFFFFF"/>
        </w:rPr>
        <w:t>Эльконин</w:t>
      </w:r>
      <w:proofErr w:type="spellEnd"/>
      <w:r w:rsidRPr="00252AE2">
        <w:rPr>
          <w:rFonts w:ascii="Times New Roman" w:hAnsi="Times New Roman" w:cs="Times New Roman"/>
          <w:sz w:val="28"/>
          <w:szCs w:val="28"/>
          <w:shd w:val="clear" w:color="auto" w:fill="FFFFFF"/>
        </w:rPr>
        <w:t xml:space="preserve">, Д. Б. Психология </w:t>
      </w:r>
      <w:r w:rsidR="0050389F">
        <w:rPr>
          <w:rFonts w:ascii="Times New Roman" w:hAnsi="Times New Roman" w:cs="Times New Roman"/>
          <w:sz w:val="28"/>
          <w:szCs w:val="28"/>
          <w:shd w:val="clear" w:color="auto" w:fill="FFFFFF"/>
        </w:rPr>
        <w:t xml:space="preserve">развития / Б. Г. </w:t>
      </w:r>
      <w:proofErr w:type="spellStart"/>
      <w:r w:rsidR="0050389F">
        <w:rPr>
          <w:rFonts w:ascii="Times New Roman" w:hAnsi="Times New Roman" w:cs="Times New Roman"/>
          <w:sz w:val="28"/>
          <w:szCs w:val="28"/>
          <w:shd w:val="clear" w:color="auto" w:fill="FFFFFF"/>
        </w:rPr>
        <w:t>Эльконин</w:t>
      </w:r>
      <w:proofErr w:type="spellEnd"/>
      <w:r w:rsidR="0050389F">
        <w:rPr>
          <w:rFonts w:ascii="Times New Roman" w:hAnsi="Times New Roman" w:cs="Times New Roman"/>
          <w:sz w:val="28"/>
          <w:szCs w:val="28"/>
          <w:shd w:val="clear" w:color="auto" w:fill="FFFFFF"/>
        </w:rPr>
        <w:t>. – М.</w:t>
      </w:r>
      <w:r w:rsidRPr="00252AE2">
        <w:rPr>
          <w:rFonts w:ascii="Times New Roman" w:hAnsi="Times New Roman" w:cs="Times New Roman"/>
          <w:sz w:val="28"/>
          <w:szCs w:val="28"/>
          <w:shd w:val="clear" w:color="auto" w:fill="FFFFFF"/>
        </w:rPr>
        <w:t>: Академия. 2001. – 140 с</w:t>
      </w:r>
      <w:r w:rsidR="0050389F">
        <w:rPr>
          <w:rFonts w:ascii="Times New Roman" w:hAnsi="Times New Roman" w:cs="Times New Roman"/>
          <w:sz w:val="28"/>
          <w:szCs w:val="28"/>
          <w:shd w:val="clear" w:color="auto" w:fill="FFFFFF"/>
        </w:rPr>
        <w:t>.</w:t>
      </w:r>
    </w:p>
    <w:p w:rsidR="00770526" w:rsidRDefault="00770526"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p w:rsidR="00F601F4" w:rsidRDefault="00F601F4" w:rsidP="00770526">
      <w:bookmarkStart w:id="0" w:name="_GoBack"/>
      <w:bookmarkEnd w:id="0"/>
    </w:p>
    <w:p w:rsidR="00F601F4" w:rsidRDefault="00F601F4" w:rsidP="00770526"/>
    <w:p w:rsidR="00F601F4" w:rsidRDefault="00F601F4" w:rsidP="00770526"/>
    <w:p w:rsidR="001947B0" w:rsidRPr="00770526" w:rsidRDefault="00770526" w:rsidP="00770526">
      <w:pPr>
        <w:tabs>
          <w:tab w:val="left" w:pos="6540"/>
        </w:tabs>
        <w:jc w:val="right"/>
        <w:rPr>
          <w:rFonts w:ascii="Times New Roman" w:hAnsi="Times New Roman" w:cs="Times New Roman"/>
        </w:rPr>
      </w:pPr>
      <w:r w:rsidRPr="00770526">
        <w:rPr>
          <w:rFonts w:ascii="Times New Roman" w:hAnsi="Times New Roman" w:cs="Times New Roman"/>
          <w:sz w:val="28"/>
          <w:szCs w:val="28"/>
        </w:rPr>
        <w:t xml:space="preserve">© Д. Д. </w:t>
      </w:r>
      <w:proofErr w:type="spellStart"/>
      <w:r w:rsidRPr="00770526">
        <w:rPr>
          <w:rFonts w:ascii="Times New Roman" w:hAnsi="Times New Roman" w:cs="Times New Roman"/>
          <w:sz w:val="28"/>
          <w:szCs w:val="28"/>
        </w:rPr>
        <w:t>Шереметова</w:t>
      </w:r>
      <w:proofErr w:type="spellEnd"/>
      <w:r w:rsidRPr="00770526">
        <w:rPr>
          <w:rFonts w:ascii="Times New Roman" w:hAnsi="Times New Roman" w:cs="Times New Roman"/>
          <w:sz w:val="28"/>
          <w:szCs w:val="28"/>
        </w:rPr>
        <w:t>, 2017</w:t>
      </w:r>
    </w:p>
    <w:sectPr w:rsidR="001947B0" w:rsidRPr="007705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1F" w:rsidRDefault="00287E1F" w:rsidP="00214479">
      <w:pPr>
        <w:spacing w:after="0" w:line="240" w:lineRule="auto"/>
      </w:pPr>
      <w:r>
        <w:separator/>
      </w:r>
    </w:p>
  </w:endnote>
  <w:endnote w:type="continuationSeparator" w:id="0">
    <w:p w:rsidR="00287E1F" w:rsidRDefault="00287E1F" w:rsidP="0021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1F" w:rsidRDefault="00287E1F" w:rsidP="00214479">
      <w:pPr>
        <w:spacing w:after="0" w:line="240" w:lineRule="auto"/>
      </w:pPr>
      <w:r>
        <w:separator/>
      </w:r>
    </w:p>
  </w:footnote>
  <w:footnote w:type="continuationSeparator" w:id="0">
    <w:p w:rsidR="00287E1F" w:rsidRDefault="00287E1F" w:rsidP="00214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78C"/>
    <w:multiLevelType w:val="hybridMultilevel"/>
    <w:tmpl w:val="2D60FF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79"/>
    <w:rsid w:val="00084014"/>
    <w:rsid w:val="000F740F"/>
    <w:rsid w:val="00110CDE"/>
    <w:rsid w:val="001147B3"/>
    <w:rsid w:val="001255BC"/>
    <w:rsid w:val="00162830"/>
    <w:rsid w:val="001935D5"/>
    <w:rsid w:val="001947B0"/>
    <w:rsid w:val="00214479"/>
    <w:rsid w:val="00221624"/>
    <w:rsid w:val="00252AE2"/>
    <w:rsid w:val="00273B88"/>
    <w:rsid w:val="00287E1F"/>
    <w:rsid w:val="002A384A"/>
    <w:rsid w:val="003147A1"/>
    <w:rsid w:val="00357AE3"/>
    <w:rsid w:val="003E02C8"/>
    <w:rsid w:val="004710CA"/>
    <w:rsid w:val="00472739"/>
    <w:rsid w:val="004E78BA"/>
    <w:rsid w:val="0050389F"/>
    <w:rsid w:val="00536975"/>
    <w:rsid w:val="005B3FC2"/>
    <w:rsid w:val="005E1872"/>
    <w:rsid w:val="00612608"/>
    <w:rsid w:val="00770526"/>
    <w:rsid w:val="007A6D97"/>
    <w:rsid w:val="00892881"/>
    <w:rsid w:val="009367BE"/>
    <w:rsid w:val="009833DC"/>
    <w:rsid w:val="009E5B9B"/>
    <w:rsid w:val="00A860C2"/>
    <w:rsid w:val="00B94628"/>
    <w:rsid w:val="00C30A92"/>
    <w:rsid w:val="00CA29A0"/>
    <w:rsid w:val="00CD5F1E"/>
    <w:rsid w:val="00D5181B"/>
    <w:rsid w:val="00D60FAC"/>
    <w:rsid w:val="00DF5199"/>
    <w:rsid w:val="00E41D8E"/>
    <w:rsid w:val="00EF4566"/>
    <w:rsid w:val="00F00822"/>
    <w:rsid w:val="00F601F4"/>
    <w:rsid w:val="00F77A4C"/>
    <w:rsid w:val="00FD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4479"/>
    <w:rPr>
      <w:b/>
      <w:bCs/>
    </w:rPr>
  </w:style>
  <w:style w:type="paragraph" w:styleId="a4">
    <w:name w:val="header"/>
    <w:basedOn w:val="a"/>
    <w:link w:val="a5"/>
    <w:uiPriority w:val="99"/>
    <w:unhideWhenUsed/>
    <w:rsid w:val="002144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4479"/>
  </w:style>
  <w:style w:type="paragraph" w:styleId="a6">
    <w:name w:val="footer"/>
    <w:basedOn w:val="a"/>
    <w:link w:val="a7"/>
    <w:uiPriority w:val="99"/>
    <w:unhideWhenUsed/>
    <w:rsid w:val="002144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479"/>
  </w:style>
  <w:style w:type="paragraph" w:customStyle="1" w:styleId="Default">
    <w:name w:val="Default"/>
    <w:rsid w:val="003147A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2A384A"/>
    <w:rPr>
      <w:i/>
      <w:iCs/>
    </w:rPr>
  </w:style>
  <w:style w:type="paragraph" w:styleId="a9">
    <w:name w:val="Balloon Text"/>
    <w:basedOn w:val="a"/>
    <w:link w:val="aa"/>
    <w:uiPriority w:val="99"/>
    <w:semiHidden/>
    <w:unhideWhenUsed/>
    <w:rsid w:val="001255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55BC"/>
    <w:rPr>
      <w:rFonts w:ascii="Tahoma" w:hAnsi="Tahoma" w:cs="Tahoma"/>
      <w:sz w:val="16"/>
      <w:szCs w:val="16"/>
    </w:rPr>
  </w:style>
  <w:style w:type="paragraph" w:customStyle="1" w:styleId="1">
    <w:name w:val="Обычный1"/>
    <w:rsid w:val="001255BC"/>
    <w:pPr>
      <w:widowControl w:val="0"/>
      <w:suppressAutoHyphens/>
      <w:spacing w:after="0" w:line="240" w:lineRule="auto"/>
      <w:ind w:firstLine="200"/>
      <w:jc w:val="both"/>
    </w:pPr>
    <w:rPr>
      <w:rFonts w:ascii="Times New Roman" w:eastAsia="Times New Roman" w:hAnsi="Times New Roman" w:cs="Times New Roman"/>
      <w:sz w:val="18"/>
      <w:szCs w:val="20"/>
      <w:lang w:eastAsia="zh-CN"/>
    </w:rPr>
  </w:style>
  <w:style w:type="character" w:styleId="ab">
    <w:name w:val="Hyperlink"/>
    <w:basedOn w:val="a0"/>
    <w:uiPriority w:val="99"/>
    <w:unhideWhenUsed/>
    <w:rsid w:val="00EF4566"/>
    <w:rPr>
      <w:color w:val="0000FF" w:themeColor="hyperlink"/>
      <w:u w:val="single"/>
    </w:rPr>
  </w:style>
  <w:style w:type="paragraph" w:styleId="ac">
    <w:name w:val="List Paragraph"/>
    <w:basedOn w:val="a"/>
    <w:uiPriority w:val="34"/>
    <w:qFormat/>
    <w:rsid w:val="00F77A4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4479"/>
    <w:rPr>
      <w:b/>
      <w:bCs/>
    </w:rPr>
  </w:style>
  <w:style w:type="paragraph" w:styleId="a4">
    <w:name w:val="header"/>
    <w:basedOn w:val="a"/>
    <w:link w:val="a5"/>
    <w:uiPriority w:val="99"/>
    <w:unhideWhenUsed/>
    <w:rsid w:val="002144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4479"/>
  </w:style>
  <w:style w:type="paragraph" w:styleId="a6">
    <w:name w:val="footer"/>
    <w:basedOn w:val="a"/>
    <w:link w:val="a7"/>
    <w:uiPriority w:val="99"/>
    <w:unhideWhenUsed/>
    <w:rsid w:val="002144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4479"/>
  </w:style>
  <w:style w:type="paragraph" w:customStyle="1" w:styleId="Default">
    <w:name w:val="Default"/>
    <w:rsid w:val="003147A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2A384A"/>
    <w:rPr>
      <w:i/>
      <w:iCs/>
    </w:rPr>
  </w:style>
  <w:style w:type="paragraph" w:styleId="a9">
    <w:name w:val="Balloon Text"/>
    <w:basedOn w:val="a"/>
    <w:link w:val="aa"/>
    <w:uiPriority w:val="99"/>
    <w:semiHidden/>
    <w:unhideWhenUsed/>
    <w:rsid w:val="001255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55BC"/>
    <w:rPr>
      <w:rFonts w:ascii="Tahoma" w:hAnsi="Tahoma" w:cs="Tahoma"/>
      <w:sz w:val="16"/>
      <w:szCs w:val="16"/>
    </w:rPr>
  </w:style>
  <w:style w:type="paragraph" w:customStyle="1" w:styleId="1">
    <w:name w:val="Обычный1"/>
    <w:rsid w:val="001255BC"/>
    <w:pPr>
      <w:widowControl w:val="0"/>
      <w:suppressAutoHyphens/>
      <w:spacing w:after="0" w:line="240" w:lineRule="auto"/>
      <w:ind w:firstLine="200"/>
      <w:jc w:val="both"/>
    </w:pPr>
    <w:rPr>
      <w:rFonts w:ascii="Times New Roman" w:eastAsia="Times New Roman" w:hAnsi="Times New Roman" w:cs="Times New Roman"/>
      <w:sz w:val="18"/>
      <w:szCs w:val="20"/>
      <w:lang w:eastAsia="zh-CN"/>
    </w:rPr>
  </w:style>
  <w:style w:type="character" w:styleId="ab">
    <w:name w:val="Hyperlink"/>
    <w:basedOn w:val="a0"/>
    <w:uiPriority w:val="99"/>
    <w:unhideWhenUsed/>
    <w:rsid w:val="00EF4566"/>
    <w:rPr>
      <w:color w:val="0000FF" w:themeColor="hyperlink"/>
      <w:u w:val="single"/>
    </w:rPr>
  </w:style>
  <w:style w:type="paragraph" w:styleId="ac">
    <w:name w:val="List Paragraph"/>
    <w:basedOn w:val="a"/>
    <w:uiPriority w:val="34"/>
    <w:qFormat/>
    <w:rsid w:val="00F77A4C"/>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29032">
      <w:bodyDiv w:val="1"/>
      <w:marLeft w:val="0"/>
      <w:marRight w:val="0"/>
      <w:marTop w:val="0"/>
      <w:marBottom w:val="0"/>
      <w:divBdr>
        <w:top w:val="none" w:sz="0" w:space="0" w:color="auto"/>
        <w:left w:val="none" w:sz="0" w:space="0" w:color="auto"/>
        <w:bottom w:val="none" w:sz="0" w:space="0" w:color="auto"/>
        <w:right w:val="none" w:sz="0" w:space="0" w:color="auto"/>
      </w:divBdr>
      <w:divsChild>
        <w:div w:id="5422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55;\Desktop\&#1057;&#1086;&#1094;%20&#1087;&#1077;&#1076;&#1072;&#1075;&#1086;&#1075;%20&#8212;%20&#1082;&#1086;&#1087;&#1080;&#1103;\&#1057;&#1086;&#1085;&#1103;\&#1044;&#1072;&#1096;&#1072;\&#1044;&#1072;&#1096;&#1072;%20&#1087;&#1086;&#1076;&#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55;\Desktop\&#1057;&#1086;&#1094;%20&#1087;&#1077;&#1076;&#1072;&#1075;&#1086;&#1075;%20&#8212;%20&#1082;&#1086;&#1087;&#1080;&#1103;\&#1057;&#1086;&#1085;&#1103;\&#1044;&#1072;&#1096;&#1072;\&#1044;&#1072;&#1096;&#1072;%20&#1087;&#1086;&#1076;&#1089;&#1095;&#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55;\Desktop\&#1057;&#1086;&#1094;%20&#1087;&#1077;&#1076;&#1072;&#1075;&#1086;&#1075;%20&#8212;%20&#1082;&#1086;&#1087;&#1080;&#1103;\&#1057;&#1086;&#1085;&#1103;\&#1044;&#1072;&#1096;&#1072;\&#1044;&#1072;&#1096;&#1072;%20&#1087;&#1086;&#1076;&#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55;\Desktop\&#1057;&#1086;&#1094;%20&#1087;&#1077;&#1076;&#1072;&#1075;&#1086;&#1075;%20&#8212;%20&#1082;&#1086;&#1087;&#1080;&#1103;\&#1057;&#1086;&#1085;&#1103;\&#1044;&#1072;&#1096;&#1072;\&#1044;&#1072;&#1096;&#1072;%20&#1087;&#1086;&#1076;&#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Лист1!$R$5</c:f>
              <c:strCache>
                <c:ptCount val="1"/>
                <c:pt idx="0">
                  <c:v>ЭГ</c:v>
                </c:pt>
              </c:strCache>
            </c:strRef>
          </c:tx>
          <c:invertIfNegative val="0"/>
          <c:cat>
            <c:strRef>
              <c:f>Лист1!$S$4:$W$4</c:f>
              <c:strCache>
                <c:ptCount val="5"/>
                <c:pt idx="0">
                  <c:v>оч низкий</c:v>
                </c:pt>
                <c:pt idx="1">
                  <c:v>низкий</c:v>
                </c:pt>
                <c:pt idx="2">
                  <c:v>средний</c:v>
                </c:pt>
                <c:pt idx="3">
                  <c:v>высокий</c:v>
                </c:pt>
                <c:pt idx="4">
                  <c:v>оч. Высокий</c:v>
                </c:pt>
              </c:strCache>
            </c:strRef>
          </c:cat>
          <c:val>
            <c:numRef>
              <c:f>Лист1!$S$5:$W$5</c:f>
              <c:numCache>
                <c:formatCode>0%</c:formatCode>
                <c:ptCount val="5"/>
                <c:pt idx="0">
                  <c:v>0.1</c:v>
                </c:pt>
                <c:pt idx="1">
                  <c:v>0.30000000000000004</c:v>
                </c:pt>
                <c:pt idx="2">
                  <c:v>0.35000000000000003</c:v>
                </c:pt>
                <c:pt idx="3">
                  <c:v>0.15000000000000002</c:v>
                </c:pt>
                <c:pt idx="4">
                  <c:v>0.1</c:v>
                </c:pt>
              </c:numCache>
            </c:numRef>
          </c:val>
        </c:ser>
        <c:ser>
          <c:idx val="1"/>
          <c:order val="1"/>
          <c:tx>
            <c:strRef>
              <c:f>Лист1!$R$6</c:f>
              <c:strCache>
                <c:ptCount val="1"/>
                <c:pt idx="0">
                  <c:v>КГ</c:v>
                </c:pt>
              </c:strCache>
            </c:strRef>
          </c:tx>
          <c:invertIfNegative val="0"/>
          <c:cat>
            <c:strRef>
              <c:f>Лист1!$S$4:$W$4</c:f>
              <c:strCache>
                <c:ptCount val="5"/>
                <c:pt idx="0">
                  <c:v>оч низкий</c:v>
                </c:pt>
                <c:pt idx="1">
                  <c:v>низкий</c:v>
                </c:pt>
                <c:pt idx="2">
                  <c:v>средний</c:v>
                </c:pt>
                <c:pt idx="3">
                  <c:v>высокий</c:v>
                </c:pt>
                <c:pt idx="4">
                  <c:v>оч. Высокий</c:v>
                </c:pt>
              </c:strCache>
            </c:strRef>
          </c:cat>
          <c:val>
            <c:numRef>
              <c:f>Лист1!$S$6:$W$6</c:f>
              <c:numCache>
                <c:formatCode>0%</c:formatCode>
                <c:ptCount val="5"/>
                <c:pt idx="0">
                  <c:v>4.0000000000000008E-2</c:v>
                </c:pt>
                <c:pt idx="1">
                  <c:v>0.32000000000000006</c:v>
                </c:pt>
                <c:pt idx="2">
                  <c:v>0.41000000000000003</c:v>
                </c:pt>
                <c:pt idx="3">
                  <c:v>0.14000000000000001</c:v>
                </c:pt>
                <c:pt idx="4">
                  <c:v>9.0000000000000011E-2</c:v>
                </c:pt>
              </c:numCache>
            </c:numRef>
          </c:val>
        </c:ser>
        <c:dLbls>
          <c:showLegendKey val="0"/>
          <c:showVal val="0"/>
          <c:showCatName val="0"/>
          <c:showSerName val="0"/>
          <c:showPercent val="0"/>
          <c:showBubbleSize val="0"/>
        </c:dLbls>
        <c:gapWidth val="150"/>
        <c:axId val="186605568"/>
        <c:axId val="186608256"/>
      </c:barChart>
      <c:catAx>
        <c:axId val="186605568"/>
        <c:scaling>
          <c:orientation val="minMax"/>
        </c:scaling>
        <c:delete val="0"/>
        <c:axPos val="b"/>
        <c:majorTickMark val="out"/>
        <c:minorTickMark val="none"/>
        <c:tickLblPos val="nextTo"/>
        <c:crossAx val="186608256"/>
        <c:crosses val="autoZero"/>
        <c:auto val="1"/>
        <c:lblAlgn val="ctr"/>
        <c:lblOffset val="100"/>
        <c:noMultiLvlLbl val="0"/>
      </c:catAx>
      <c:valAx>
        <c:axId val="186608256"/>
        <c:scaling>
          <c:orientation val="minMax"/>
        </c:scaling>
        <c:delete val="0"/>
        <c:axPos val="l"/>
        <c:majorGridlines/>
        <c:title>
          <c:tx>
            <c:rich>
              <a:bodyPr rot="-5400000" vert="horz"/>
              <a:lstStyle/>
              <a:p>
                <a:pPr>
                  <a:defRPr/>
                </a:pPr>
                <a:r>
                  <a:rPr lang="ru-RU"/>
                  <a:t>Проценты</a:t>
                </a:r>
              </a:p>
            </c:rich>
          </c:tx>
          <c:overlay val="0"/>
        </c:title>
        <c:numFmt formatCode="0%" sourceLinked="1"/>
        <c:majorTickMark val="out"/>
        <c:minorTickMark val="none"/>
        <c:tickLblPos val="nextTo"/>
        <c:crossAx val="186605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Лист1!$T$17</c:f>
              <c:strCache>
                <c:ptCount val="1"/>
                <c:pt idx="0">
                  <c:v>ЭГ</c:v>
                </c:pt>
              </c:strCache>
            </c:strRef>
          </c:tx>
          <c:invertIfNegative val="0"/>
          <c:cat>
            <c:strRef>
              <c:f>Лист1!$U$16:$Y$16</c:f>
              <c:strCache>
                <c:ptCount val="5"/>
                <c:pt idx="0">
                  <c:v>оч низкий</c:v>
                </c:pt>
                <c:pt idx="1">
                  <c:v>низкий</c:v>
                </c:pt>
                <c:pt idx="2">
                  <c:v>средний</c:v>
                </c:pt>
                <c:pt idx="3">
                  <c:v>высокий</c:v>
                </c:pt>
                <c:pt idx="4">
                  <c:v>оч. Высокий</c:v>
                </c:pt>
              </c:strCache>
            </c:strRef>
          </c:cat>
          <c:val>
            <c:numRef>
              <c:f>Лист1!$U$17:$Y$17</c:f>
              <c:numCache>
                <c:formatCode>0%</c:formatCode>
                <c:ptCount val="5"/>
                <c:pt idx="0">
                  <c:v>4.0000000000000008E-2</c:v>
                </c:pt>
                <c:pt idx="1">
                  <c:v>0.14000000000000001</c:v>
                </c:pt>
                <c:pt idx="2">
                  <c:v>0.32000000000000006</c:v>
                </c:pt>
                <c:pt idx="3">
                  <c:v>0.32000000000000006</c:v>
                </c:pt>
                <c:pt idx="4">
                  <c:v>0.18000000000000002</c:v>
                </c:pt>
              </c:numCache>
            </c:numRef>
          </c:val>
        </c:ser>
        <c:ser>
          <c:idx val="1"/>
          <c:order val="1"/>
          <c:tx>
            <c:strRef>
              <c:f>Лист1!$T$18</c:f>
              <c:strCache>
                <c:ptCount val="1"/>
                <c:pt idx="0">
                  <c:v>КГ</c:v>
                </c:pt>
              </c:strCache>
            </c:strRef>
          </c:tx>
          <c:invertIfNegative val="0"/>
          <c:cat>
            <c:strRef>
              <c:f>Лист1!$U$16:$Y$16</c:f>
              <c:strCache>
                <c:ptCount val="5"/>
                <c:pt idx="0">
                  <c:v>оч низкий</c:v>
                </c:pt>
                <c:pt idx="1">
                  <c:v>низкий</c:v>
                </c:pt>
                <c:pt idx="2">
                  <c:v>средний</c:v>
                </c:pt>
                <c:pt idx="3">
                  <c:v>высокий</c:v>
                </c:pt>
                <c:pt idx="4">
                  <c:v>оч. Высокий</c:v>
                </c:pt>
              </c:strCache>
            </c:strRef>
          </c:cat>
          <c:val>
            <c:numRef>
              <c:f>Лист1!$U$18:$Y$18</c:f>
              <c:numCache>
                <c:formatCode>0%</c:formatCode>
                <c:ptCount val="5"/>
                <c:pt idx="0">
                  <c:v>4.0000000000000008E-2</c:v>
                </c:pt>
                <c:pt idx="1">
                  <c:v>0.18000000000000002</c:v>
                </c:pt>
                <c:pt idx="2">
                  <c:v>0.55000000000000004</c:v>
                </c:pt>
                <c:pt idx="3">
                  <c:v>0.14000000000000001</c:v>
                </c:pt>
                <c:pt idx="4">
                  <c:v>9.0000000000000011E-2</c:v>
                </c:pt>
              </c:numCache>
            </c:numRef>
          </c:val>
        </c:ser>
        <c:dLbls>
          <c:showLegendKey val="0"/>
          <c:showVal val="0"/>
          <c:showCatName val="0"/>
          <c:showSerName val="0"/>
          <c:showPercent val="0"/>
          <c:showBubbleSize val="0"/>
        </c:dLbls>
        <c:gapWidth val="150"/>
        <c:axId val="180744960"/>
        <c:axId val="180746496"/>
      </c:barChart>
      <c:catAx>
        <c:axId val="180744960"/>
        <c:scaling>
          <c:orientation val="minMax"/>
        </c:scaling>
        <c:delete val="0"/>
        <c:axPos val="b"/>
        <c:majorTickMark val="out"/>
        <c:minorTickMark val="none"/>
        <c:tickLblPos val="nextTo"/>
        <c:crossAx val="180746496"/>
        <c:crosses val="autoZero"/>
        <c:auto val="1"/>
        <c:lblAlgn val="ctr"/>
        <c:lblOffset val="100"/>
        <c:noMultiLvlLbl val="0"/>
      </c:catAx>
      <c:valAx>
        <c:axId val="180746496"/>
        <c:scaling>
          <c:orientation val="minMax"/>
        </c:scaling>
        <c:delete val="0"/>
        <c:axPos val="l"/>
        <c:majorGridlines/>
        <c:title>
          <c:tx>
            <c:rich>
              <a:bodyPr rot="-5400000" vert="horz"/>
              <a:lstStyle/>
              <a:p>
                <a:pPr>
                  <a:defRPr/>
                </a:pPr>
                <a:r>
                  <a:rPr lang="ru-RU"/>
                  <a:t>Проценты</a:t>
                </a:r>
              </a:p>
            </c:rich>
          </c:tx>
          <c:overlay val="0"/>
        </c:title>
        <c:numFmt formatCode="0%" sourceLinked="1"/>
        <c:majorTickMark val="out"/>
        <c:minorTickMark val="none"/>
        <c:tickLblPos val="nextTo"/>
        <c:crossAx val="1807449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Лист1!$T$22</c:f>
              <c:strCache>
                <c:ptCount val="1"/>
                <c:pt idx="0">
                  <c:v>ЭГ</c:v>
                </c:pt>
              </c:strCache>
            </c:strRef>
          </c:tx>
          <c:invertIfNegative val="0"/>
          <c:cat>
            <c:strRef>
              <c:f>Лист1!$U$21:$Y$21</c:f>
              <c:strCache>
                <c:ptCount val="5"/>
                <c:pt idx="0">
                  <c:v>оч низкий</c:v>
                </c:pt>
                <c:pt idx="1">
                  <c:v>низкий</c:v>
                </c:pt>
                <c:pt idx="2">
                  <c:v>средний</c:v>
                </c:pt>
                <c:pt idx="3">
                  <c:v>высокий</c:v>
                </c:pt>
                <c:pt idx="4">
                  <c:v>оч. Высокий</c:v>
                </c:pt>
              </c:strCache>
            </c:strRef>
          </c:cat>
          <c:val>
            <c:numRef>
              <c:f>Лист1!$U$22:$Y$22</c:f>
              <c:numCache>
                <c:formatCode>0%</c:formatCode>
                <c:ptCount val="5"/>
                <c:pt idx="0">
                  <c:v>4.0000000000000008E-2</c:v>
                </c:pt>
                <c:pt idx="1">
                  <c:v>9.0000000000000011E-2</c:v>
                </c:pt>
                <c:pt idx="2">
                  <c:v>0.42000000000000004</c:v>
                </c:pt>
                <c:pt idx="3">
                  <c:v>0.31000000000000005</c:v>
                </c:pt>
                <c:pt idx="4">
                  <c:v>0.14000000000000001</c:v>
                </c:pt>
              </c:numCache>
            </c:numRef>
          </c:val>
        </c:ser>
        <c:ser>
          <c:idx val="1"/>
          <c:order val="1"/>
          <c:tx>
            <c:strRef>
              <c:f>Лист1!$T$23</c:f>
              <c:strCache>
                <c:ptCount val="1"/>
                <c:pt idx="0">
                  <c:v>КГ</c:v>
                </c:pt>
              </c:strCache>
            </c:strRef>
          </c:tx>
          <c:invertIfNegative val="0"/>
          <c:cat>
            <c:strRef>
              <c:f>Лист1!$U$21:$Y$21</c:f>
              <c:strCache>
                <c:ptCount val="5"/>
                <c:pt idx="0">
                  <c:v>оч низкий</c:v>
                </c:pt>
                <c:pt idx="1">
                  <c:v>низкий</c:v>
                </c:pt>
                <c:pt idx="2">
                  <c:v>средний</c:v>
                </c:pt>
                <c:pt idx="3">
                  <c:v>высокий</c:v>
                </c:pt>
                <c:pt idx="4">
                  <c:v>оч. Высокий</c:v>
                </c:pt>
              </c:strCache>
            </c:strRef>
          </c:cat>
          <c:val>
            <c:numRef>
              <c:f>Лист1!$U$23:$Y$23</c:f>
              <c:numCache>
                <c:formatCode>0%</c:formatCode>
                <c:ptCount val="5"/>
                <c:pt idx="0">
                  <c:v>9.0000000000000011E-2</c:v>
                </c:pt>
                <c:pt idx="1">
                  <c:v>0.18000000000000002</c:v>
                </c:pt>
                <c:pt idx="2">
                  <c:v>0.60000000000000009</c:v>
                </c:pt>
                <c:pt idx="3">
                  <c:v>9.0000000000000011E-2</c:v>
                </c:pt>
                <c:pt idx="4">
                  <c:v>4.0000000000000008E-2</c:v>
                </c:pt>
              </c:numCache>
            </c:numRef>
          </c:val>
        </c:ser>
        <c:dLbls>
          <c:showLegendKey val="0"/>
          <c:showVal val="0"/>
          <c:showCatName val="0"/>
          <c:showSerName val="0"/>
          <c:showPercent val="0"/>
          <c:showBubbleSize val="0"/>
        </c:dLbls>
        <c:gapWidth val="150"/>
        <c:axId val="186596352"/>
        <c:axId val="186602240"/>
      </c:barChart>
      <c:catAx>
        <c:axId val="186596352"/>
        <c:scaling>
          <c:orientation val="minMax"/>
        </c:scaling>
        <c:delete val="0"/>
        <c:axPos val="b"/>
        <c:majorTickMark val="out"/>
        <c:minorTickMark val="none"/>
        <c:tickLblPos val="nextTo"/>
        <c:crossAx val="186602240"/>
        <c:crosses val="autoZero"/>
        <c:auto val="1"/>
        <c:lblAlgn val="ctr"/>
        <c:lblOffset val="100"/>
        <c:noMultiLvlLbl val="0"/>
      </c:catAx>
      <c:valAx>
        <c:axId val="186602240"/>
        <c:scaling>
          <c:orientation val="minMax"/>
        </c:scaling>
        <c:delete val="0"/>
        <c:axPos val="l"/>
        <c:majorGridlines/>
        <c:title>
          <c:tx>
            <c:rich>
              <a:bodyPr rot="-5400000" vert="horz"/>
              <a:lstStyle/>
              <a:p>
                <a:pPr>
                  <a:defRPr/>
                </a:pPr>
                <a:r>
                  <a:rPr lang="ru-RU"/>
                  <a:t>Проценты</a:t>
                </a:r>
              </a:p>
            </c:rich>
          </c:tx>
          <c:overlay val="0"/>
        </c:title>
        <c:numFmt formatCode="0%" sourceLinked="1"/>
        <c:majorTickMark val="out"/>
        <c:minorTickMark val="none"/>
        <c:tickLblPos val="nextTo"/>
        <c:crossAx val="1865963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Лист1!$T$22</c:f>
              <c:strCache>
                <c:ptCount val="1"/>
                <c:pt idx="0">
                  <c:v>ЭГ</c:v>
                </c:pt>
              </c:strCache>
            </c:strRef>
          </c:tx>
          <c:invertIfNegative val="0"/>
          <c:cat>
            <c:strRef>
              <c:f>Лист1!$U$21:$Y$21</c:f>
              <c:strCache>
                <c:ptCount val="5"/>
                <c:pt idx="0">
                  <c:v>оч низкий</c:v>
                </c:pt>
                <c:pt idx="1">
                  <c:v>низкий</c:v>
                </c:pt>
                <c:pt idx="2">
                  <c:v>средний</c:v>
                </c:pt>
                <c:pt idx="3">
                  <c:v>высокий</c:v>
                </c:pt>
                <c:pt idx="4">
                  <c:v>оч. Высокий</c:v>
                </c:pt>
              </c:strCache>
            </c:strRef>
          </c:cat>
          <c:val>
            <c:numRef>
              <c:f>Лист1!$U$22:$Y$22</c:f>
              <c:numCache>
                <c:formatCode>0%</c:formatCode>
                <c:ptCount val="5"/>
                <c:pt idx="0">
                  <c:v>4.0000000000000008E-2</c:v>
                </c:pt>
                <c:pt idx="1">
                  <c:v>9.0000000000000011E-2</c:v>
                </c:pt>
                <c:pt idx="2">
                  <c:v>0.42000000000000004</c:v>
                </c:pt>
                <c:pt idx="3">
                  <c:v>0.31000000000000005</c:v>
                </c:pt>
                <c:pt idx="4">
                  <c:v>0.14000000000000001</c:v>
                </c:pt>
              </c:numCache>
            </c:numRef>
          </c:val>
        </c:ser>
        <c:ser>
          <c:idx val="1"/>
          <c:order val="1"/>
          <c:tx>
            <c:strRef>
              <c:f>Лист1!$T$23</c:f>
              <c:strCache>
                <c:ptCount val="1"/>
                <c:pt idx="0">
                  <c:v>КГ</c:v>
                </c:pt>
              </c:strCache>
            </c:strRef>
          </c:tx>
          <c:invertIfNegative val="0"/>
          <c:cat>
            <c:strRef>
              <c:f>Лист1!$U$21:$Y$21</c:f>
              <c:strCache>
                <c:ptCount val="5"/>
                <c:pt idx="0">
                  <c:v>оч низкий</c:v>
                </c:pt>
                <c:pt idx="1">
                  <c:v>низкий</c:v>
                </c:pt>
                <c:pt idx="2">
                  <c:v>средний</c:v>
                </c:pt>
                <c:pt idx="3">
                  <c:v>высокий</c:v>
                </c:pt>
                <c:pt idx="4">
                  <c:v>оч. Высокий</c:v>
                </c:pt>
              </c:strCache>
            </c:strRef>
          </c:cat>
          <c:val>
            <c:numRef>
              <c:f>Лист1!$U$23:$Y$23</c:f>
              <c:numCache>
                <c:formatCode>0%</c:formatCode>
                <c:ptCount val="5"/>
                <c:pt idx="0">
                  <c:v>9.0000000000000011E-2</c:v>
                </c:pt>
                <c:pt idx="1">
                  <c:v>0.18000000000000002</c:v>
                </c:pt>
                <c:pt idx="2">
                  <c:v>0.60000000000000009</c:v>
                </c:pt>
                <c:pt idx="3">
                  <c:v>9.0000000000000011E-2</c:v>
                </c:pt>
                <c:pt idx="4">
                  <c:v>4.0000000000000008E-2</c:v>
                </c:pt>
              </c:numCache>
            </c:numRef>
          </c:val>
        </c:ser>
        <c:dLbls>
          <c:showLegendKey val="0"/>
          <c:showVal val="0"/>
          <c:showCatName val="0"/>
          <c:showSerName val="0"/>
          <c:showPercent val="0"/>
          <c:showBubbleSize val="0"/>
        </c:dLbls>
        <c:gapWidth val="150"/>
        <c:axId val="186627584"/>
        <c:axId val="186629120"/>
      </c:barChart>
      <c:catAx>
        <c:axId val="186627584"/>
        <c:scaling>
          <c:orientation val="minMax"/>
        </c:scaling>
        <c:delete val="0"/>
        <c:axPos val="b"/>
        <c:majorTickMark val="out"/>
        <c:minorTickMark val="none"/>
        <c:tickLblPos val="nextTo"/>
        <c:crossAx val="186629120"/>
        <c:crosses val="autoZero"/>
        <c:auto val="1"/>
        <c:lblAlgn val="ctr"/>
        <c:lblOffset val="100"/>
        <c:noMultiLvlLbl val="0"/>
      </c:catAx>
      <c:valAx>
        <c:axId val="186629120"/>
        <c:scaling>
          <c:orientation val="minMax"/>
        </c:scaling>
        <c:delete val="0"/>
        <c:axPos val="l"/>
        <c:majorGridlines/>
        <c:title>
          <c:tx>
            <c:rich>
              <a:bodyPr rot="-5400000" vert="horz"/>
              <a:lstStyle/>
              <a:p>
                <a:pPr>
                  <a:defRPr/>
                </a:pPr>
                <a:r>
                  <a:rPr lang="ru-RU"/>
                  <a:t>Проценты</a:t>
                </a:r>
              </a:p>
            </c:rich>
          </c:tx>
          <c:overlay val="0"/>
        </c:title>
        <c:numFmt formatCode="0%" sourceLinked="1"/>
        <c:majorTickMark val="out"/>
        <c:minorTickMark val="none"/>
        <c:tickLblPos val="nextTo"/>
        <c:crossAx val="186627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0530-B362-48A4-B02A-CB3968DC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1730</Words>
  <Characters>9865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25</cp:revision>
  <cp:lastPrinted>2017-10-02T11:38:00Z</cp:lastPrinted>
  <dcterms:created xsi:type="dcterms:W3CDTF">2017-10-01T18:06:00Z</dcterms:created>
  <dcterms:modified xsi:type="dcterms:W3CDTF">2017-10-02T12:04:00Z</dcterms:modified>
</cp:coreProperties>
</file>