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>Статья для Интернет-издания о выдающихся достижениях израильской ортопедической хирургии в 2017 г.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  <w:br/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>http://www.bagnet.org/news/health/353049/krupneyshie-dostizheniya-izrailskoy-ortopedicheskoy-hirurgii-v-2017-godu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13</Words>
  <Characters>200</Characters>
  <CharactersWithSpaces>212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2018-02-28T16:14:41Z</dcterms:created>
  <dc:creator/>
  <dc:description/>
  <dc:language>ru-RU</dc:language>
  <cp:lastModifiedBy/>
  <dcterms:modified xsi:type="dcterms:W3CDTF">2018-02-28T16:16:51Z</dcterms:modified>
  <cp:revision>3</cp:revision>
  <dc:subject/>
  <dc:title/>
</cp:coreProperties>
</file>