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19" w:rsidRPr="00A01995" w:rsidRDefault="00517619" w:rsidP="00D2181B">
      <w:pPr>
        <w:pStyle w:val="a4"/>
        <w:tabs>
          <w:tab w:val="left" w:pos="7800"/>
        </w:tabs>
        <w:spacing w:after="0"/>
        <w:jc w:val="both"/>
      </w:pPr>
      <w:bookmarkStart w:id="0" w:name="_GoBack"/>
      <w:bookmarkEnd w:id="0"/>
      <w:r w:rsidRPr="00A01995">
        <w:rPr>
          <w:b/>
        </w:rPr>
        <w:t>Торсунян Г.А.:</w:t>
      </w:r>
      <w:r w:rsidRPr="00A01995">
        <w:t xml:space="preserve"> Уважаемые коллеги, добрый вечер! Я рад всех вас видеть у нас в гостях. Сегодня мы проводим очередное заседание Совета уполномоченных банков. Он сейчас называется более длинно, но я его по-старому называю. 20 с лишним лет уже</w:t>
      </w:r>
      <w:r>
        <w:t xml:space="preserve"> </w:t>
      </w:r>
      <w:r w:rsidRPr="00A01995">
        <w:t xml:space="preserve">институту, поэтому имеем право, наверное, старое название. И повестка дня у нас довольно обширная. Вы знаете, что ключевой вопрос в этой повестке дня – это работа с нашей вновь созданной корпорацией по развитию малого и среднего бизнеса. И тема очень актуальная для нас, для уполномоченных банков Правительства Москвы в частности. Александр Арнольдович подъедет к половине, потому что мы так договорились, что мы сначала свои вопросы некоторые рассмотрим, потом он подъедет, и мы перейдём к ключевому пункту повестки дня, который мы плотно готовили более месяца. </w:t>
      </w:r>
      <w:r w:rsidRPr="00A01995">
        <w:rPr>
          <w:lang w:val="uk-UA"/>
        </w:rPr>
        <w:t>А</w:t>
      </w:r>
      <w:r w:rsidRPr="00A01995">
        <w:t xml:space="preserve"> вообще по большому счёту мы полгода с лишним эту встречу намечали, организовывали. Но, поскольку корпорация в стадии</w:t>
      </w:r>
      <w:r>
        <w:t xml:space="preserve"> </w:t>
      </w:r>
      <w:r w:rsidRPr="00A01995">
        <w:t>формирования находилась, то, когда вышли на договорённости о встрече, уже определили дату. Если не возражаете, мы с учётом вот такого распределения повестки дня сначала рассмотрим наши рабочие вопросы. Как раз в оставшееся время до прихода Александр</w:t>
      </w:r>
      <w:r w:rsidRPr="00A01995">
        <w:rPr>
          <w:lang w:val="uk-UA"/>
        </w:rPr>
        <w:t>а</w:t>
      </w:r>
      <w:r w:rsidRPr="00A01995">
        <w:t xml:space="preserve"> Арнольдовича мы рассмотрим вопросы о деятельности секретариата Общественно-консультативного совета уполномоченных Правительства Москвы. И я предоставляю слово Николаю Витальевичу, ответственному секретарю совета, чтобы доложил, как у нас работа шла в прошлом году и в начале этого года. Прошу вас.</w:t>
      </w:r>
    </w:p>
    <w:p w:rsidR="00517619" w:rsidRPr="00A01995" w:rsidRDefault="00517619" w:rsidP="00251594">
      <w:pPr>
        <w:pStyle w:val="a4"/>
        <w:spacing w:after="0"/>
        <w:jc w:val="both"/>
      </w:pPr>
      <w:r w:rsidRPr="00A01995">
        <w:rPr>
          <w:b/>
        </w:rPr>
        <w:t>Редько Н.В</w:t>
      </w:r>
      <w:r w:rsidRPr="00A01995">
        <w:t>.: Уважаемые коллеги, добрый день! У вас есть в синих папочках материалы. Первый раздел, где указаны те мероприятия, которые состоялись во втором полугодии прошлого года и были организованы нашим советом. Я кратко на них</w:t>
      </w:r>
      <w:r>
        <w:t xml:space="preserve"> </w:t>
      </w:r>
      <w:r w:rsidRPr="00A01995">
        <w:t xml:space="preserve">остановлюсь. </w:t>
      </w:r>
    </w:p>
    <w:p w:rsidR="00517619" w:rsidRPr="00A01995" w:rsidRDefault="00517619" w:rsidP="00251594">
      <w:pPr>
        <w:pStyle w:val="a4"/>
        <w:spacing w:after="0"/>
        <w:jc w:val="both"/>
      </w:pPr>
      <w:r w:rsidRPr="00A01995">
        <w:rPr>
          <w:b/>
        </w:rPr>
        <w:t>Торсунян Г.А.:</w:t>
      </w:r>
      <w:r w:rsidRPr="00A01995">
        <w:t xml:space="preserve"> Я извиняюсь. Единственное, что, коллеги, я забыл поприветствовать отдельно Геннадия Валентиновича, потому что мы очень долго работаем не только с Правительством Москвы, но и с Антимонопольным департаментом. И в этом смысле по защите конкуренции, если правильно называть департамент. И я рад приветствовать также соруководителей и руководителей новой корпорации, Максима Германовича Любомудрова, Сергея Валерьевича, Викторию Викторовну и, конечно же, Анастасию Сергеевну. И я</w:t>
      </w:r>
      <w:r w:rsidRPr="00A01995">
        <w:rPr>
          <w:lang w:val="uk-UA"/>
        </w:rPr>
        <w:t>,</w:t>
      </w:r>
      <w:r w:rsidRPr="00A01995">
        <w:t xml:space="preserve"> безусловно</w:t>
      </w:r>
      <w:r w:rsidRPr="00A01995">
        <w:rPr>
          <w:lang w:val="uk-UA"/>
        </w:rPr>
        <w:t>,</w:t>
      </w:r>
      <w:r w:rsidRPr="00A01995">
        <w:t xml:space="preserve"> рад видеть все наши уполномоченные банки, так что как-то, увлекшись повесткой дня, не отметить, что мы рады видеть наших гостей, особенно первый раз участвующих здесь в нашем заседании, было бы неправильно. Поэтому извиняюсь, Николай Витальевич, продолжайте.</w:t>
      </w:r>
    </w:p>
    <w:p w:rsidR="00517619" w:rsidRDefault="00517619" w:rsidP="00251594">
      <w:pPr>
        <w:pStyle w:val="a4"/>
        <w:spacing w:after="0"/>
        <w:jc w:val="both"/>
        <w:rPr>
          <w:bCs/>
          <w:szCs w:val="24"/>
          <w:shd w:val="clear" w:color="auto" w:fill="FFFFFF"/>
        </w:rPr>
      </w:pPr>
      <w:r w:rsidRPr="00A01995">
        <w:rPr>
          <w:b/>
        </w:rPr>
        <w:t>Редько Н.В</w:t>
      </w:r>
      <w:r w:rsidRPr="00A01995">
        <w:t xml:space="preserve">.: Первое мероприятие, которое я хотел бы отметить, мы провели по инициативе Департамента малого и среднего бизнеса, развития науки и промышленной политики. Речь идёт об открытии расчётных счетов. Город является показательным для станового рейтинга </w:t>
      </w:r>
      <w:r w:rsidRPr="00A01995">
        <w:rPr>
          <w:bCs/>
          <w:szCs w:val="24"/>
          <w:shd w:val="clear" w:color="auto" w:fill="FFFFFF"/>
        </w:rPr>
        <w:t>Doing</w:t>
      </w:r>
      <w:r w:rsidRPr="00A01995">
        <w:rPr>
          <w:rStyle w:val="apple-converted-space"/>
          <w:szCs w:val="24"/>
          <w:shd w:val="clear" w:color="auto" w:fill="FFFFFF"/>
        </w:rPr>
        <w:t> </w:t>
      </w:r>
      <w:r w:rsidRPr="00A01995">
        <w:rPr>
          <w:bCs/>
          <w:szCs w:val="24"/>
          <w:shd w:val="clear" w:color="auto" w:fill="FFFFFF"/>
        </w:rPr>
        <w:t xml:space="preserve">Business и предпринимает со своей стороны большие шаги для того, чтобы этот рейтинг повышать. Одним из параметров этого рейтинга является скорость открытия расчётных счетов, и мы в этом зале очень подробно вопросы рассмотрели. На мой взгляд, особенно важно было обмен опытом различных банков о тех достижениях, которые каждый из банков здесь нашёл, решения. Я думаю, что эти решения найдут воплощения в практике и действительно наш город, а за ним и страна в этом рейтинге поднимется. </w:t>
      </w:r>
    </w:p>
    <w:p w:rsidR="00517619" w:rsidRDefault="00517619" w:rsidP="00251594">
      <w:pPr>
        <w:pStyle w:val="a4"/>
        <w:spacing w:after="0"/>
        <w:jc w:val="both"/>
        <w:rPr>
          <w:bCs/>
          <w:szCs w:val="24"/>
          <w:shd w:val="clear" w:color="auto" w:fill="FFFFFF"/>
        </w:rPr>
      </w:pPr>
      <w:r w:rsidRPr="00A01995">
        <w:rPr>
          <w:bCs/>
          <w:szCs w:val="24"/>
          <w:shd w:val="clear" w:color="auto" w:fill="FFFFFF"/>
        </w:rPr>
        <w:t xml:space="preserve">Я также хотел бы отметить наши работы по пункту 2, по пункту 3, связанные как раз с темой сегодняшнего мероприятия. Мы готовили заседания Межрегионального банковского совета при Совете Федерации и выработали некие рекомендации по тому, какие формы поддержки могли бы быть эффективными в сегодняшних сложившихся условиях. Мы продолжаем прорабатывать этот вопрос. На наш взгляд сами эти рекомендации выработаны были и также </w:t>
      </w:r>
      <w:r w:rsidRPr="00A01995">
        <w:rPr>
          <w:bCs/>
          <w:szCs w:val="24"/>
          <w:shd w:val="clear" w:color="auto" w:fill="FFFFFF"/>
        </w:rPr>
        <w:lastRenderedPageBreak/>
        <w:t>направлены в Правительство Москвы. И надеемся, что дальнейшей дискуссией мы сможем кое-что реализовать и на уровне субъекта Федерации. Я хотел бы обратить ваше внимание на</w:t>
      </w:r>
      <w:r>
        <w:rPr>
          <w:bCs/>
          <w:szCs w:val="24"/>
          <w:shd w:val="clear" w:color="auto" w:fill="FFFFFF"/>
        </w:rPr>
        <w:t xml:space="preserve"> </w:t>
      </w:r>
      <w:r w:rsidRPr="00A01995">
        <w:rPr>
          <w:bCs/>
          <w:szCs w:val="24"/>
          <w:shd w:val="clear" w:color="auto" w:fill="FFFFFF"/>
        </w:rPr>
        <w:t>мероприятие, которое мы здесь провели по финансовой грамотности в городе Москве. Мы с удовлетворением увидели, что Министерство финансов Российской Федерации и Центральный банк участвуют в такой программе. И в том числе Москва, поучаствовав в некоем конкурсе, также стала его победителем. Сегодня мы проводим немножко удивительную для себя работу. Мы преодолеваем некоторые юридические тонкости для того, чтобы Москва оформила своё участие в этой программе. На наш взгляд мы как кредитная организация очень заинтересованы в том, чтобы, особенно молодое поколение выходило в активную жизненную фазу, имея достаточно серьёзные представления по данному вопросу, как по житейским вопросам, так и по вопросам, связанным с риском мошенничества и вовлечением молодёжи в некие мошеннические схемы. На этом мероприятии выяснилось, что у ряда кредитных организаций данная работа ведётся совместно с работами по профессиональной ориентации и последующему привлечению молодёжи для работы в финансовый сектор. На наш взгляд с точки зрения города Москвы это тоже весьма позитивный фактор, потому что финансовая сфера, сфера финансовых услуг является той сферой, у которой наибольшая заработная плата, наиболее высокая квалификация</w:t>
      </w:r>
      <w:r w:rsidRPr="00A01995">
        <w:rPr>
          <w:bCs/>
          <w:szCs w:val="24"/>
          <w:shd w:val="clear" w:color="auto" w:fill="FFFFFF"/>
          <w:lang w:val="uk-UA"/>
        </w:rPr>
        <w:t xml:space="preserve">. </w:t>
      </w:r>
      <w:r w:rsidRPr="00A01995">
        <w:rPr>
          <w:bCs/>
          <w:szCs w:val="24"/>
          <w:shd w:val="clear" w:color="auto" w:fill="FFFFFF"/>
        </w:rPr>
        <w:t xml:space="preserve">А это, в общем-то, приоритет города Москвы – наличие в городе рабочих мест именно с такими показателями. </w:t>
      </w:r>
    </w:p>
    <w:p w:rsidR="00517619" w:rsidRDefault="00517619" w:rsidP="00251594">
      <w:pPr>
        <w:pStyle w:val="a4"/>
        <w:spacing w:after="0"/>
        <w:jc w:val="both"/>
        <w:rPr>
          <w:bCs/>
          <w:szCs w:val="24"/>
          <w:shd w:val="clear" w:color="auto" w:fill="FFFFFF"/>
        </w:rPr>
      </w:pPr>
      <w:r w:rsidRPr="00A01995">
        <w:rPr>
          <w:bCs/>
          <w:szCs w:val="24"/>
          <w:shd w:val="clear" w:color="auto" w:fill="FFFFFF"/>
        </w:rPr>
        <w:t>Я также</w:t>
      </w:r>
      <w:r>
        <w:rPr>
          <w:bCs/>
          <w:szCs w:val="24"/>
          <w:shd w:val="clear" w:color="auto" w:fill="FFFFFF"/>
        </w:rPr>
        <w:t xml:space="preserve"> </w:t>
      </w:r>
      <w:r w:rsidRPr="00A01995">
        <w:rPr>
          <w:bCs/>
          <w:szCs w:val="24"/>
          <w:shd w:val="clear" w:color="auto" w:fill="FFFFFF"/>
        </w:rPr>
        <w:t xml:space="preserve">хотел бы отметить два мероприятия под номерами 6 и 7. Здесь также присутствуют наши коллеги из профильного предприятия. В городе накоплен определённый опыт в области энергосервисных контрактов и энергосбережения. И мы намерены реализовать целый цикл мероприятий в разных направлениях, связанных с финансированием энергосервиса. В частности, сейчас на повестке дня стоит вопрос финансирования по энергосервису вопросов городского освещения. Понятно, что вопросы с энергосбережением и энергосервисом ввиду наличия там экспортно-импортной составляющей и с другой стороны удорожания его, в общем-то, удлинились сроки. Но тем не менее на наш взгляд проекты достаточно прозрачные и в то же время, кроме финансовой отдачи в общем-то понятные с точки зрения экологии и других приоритетов. Мы понимаем, что здесь есть своя специфика отраслевая, если речь идёт об освещении либо речь идёт о многоквартирных жилых домах, либо речь идёт о объектах социальной сферы, везде есть своя специфика. Мы на предыдущих мероприятиях чётко установили, что у крупнейших банков есть в наличии в своей инфраструктуре специализированные компании по энергосервису с хорошим опытом. И, собственно, использование этого опыта и ресурсов кредитных организаций для энергосервиса в Москве на наш взгляд имеет хорошую перспективу. Данные проекты, безусловно, поддержаны профильным департаментом города Москвы. Первый заместитель руководителя принимал участие в одном из этих мероприятий и проявлял такую высокую заинтересованность. Поэтому мы считаем, что у этих двух направлений есть перспективы. Также мы стараемся и сегодня тоже показать, что ряд проектов по энергосервису, особенно когда речь идёт о небольших объектах, могла бы быть структурирована как проекты малого и среднего бизнеса и, собственно, получать государственную поддержку как корпораций, так и московского фонда, так и бюджета города Москвы. И это на наш взгляд тоже на фоне финансирования торговой деятельности в городе Москве было бы тоже очень позитивным. </w:t>
      </w:r>
    </w:p>
    <w:p w:rsidR="00517619" w:rsidRPr="00A01995" w:rsidRDefault="00517619" w:rsidP="00251594">
      <w:pPr>
        <w:pStyle w:val="a4"/>
        <w:spacing w:after="0"/>
        <w:jc w:val="both"/>
        <w:rPr>
          <w:bCs/>
          <w:szCs w:val="24"/>
          <w:shd w:val="clear" w:color="auto" w:fill="FFFFFF"/>
        </w:rPr>
      </w:pPr>
      <w:r w:rsidRPr="00A01995">
        <w:rPr>
          <w:bCs/>
          <w:szCs w:val="24"/>
          <w:shd w:val="clear" w:color="auto" w:fill="FFFFFF"/>
        </w:rPr>
        <w:t xml:space="preserve">И в заключение хотел бы отметить, что мы планируем, как и в прошлые годы, подготовить годовой отчёт о деятельности нашего совета и банков-партнёров Правительства Москвы. У </w:t>
      </w:r>
      <w:r w:rsidRPr="00A01995">
        <w:rPr>
          <w:bCs/>
          <w:szCs w:val="24"/>
          <w:shd w:val="clear" w:color="auto" w:fill="FFFFFF"/>
        </w:rPr>
        <w:lastRenderedPageBreak/>
        <w:t>вас в материалах есть вот красные книжицы, которые по формату стали уже таким многотомным собранием. Мы обратились к вам с предложением предоставить материалы для</w:t>
      </w:r>
      <w:r>
        <w:rPr>
          <w:bCs/>
          <w:szCs w:val="24"/>
          <w:shd w:val="clear" w:color="auto" w:fill="FFFFFF"/>
        </w:rPr>
        <w:t xml:space="preserve"> </w:t>
      </w:r>
      <w:r w:rsidRPr="00A01995">
        <w:rPr>
          <w:bCs/>
          <w:szCs w:val="24"/>
          <w:shd w:val="clear" w:color="auto" w:fill="FFFFFF"/>
        </w:rPr>
        <w:t>этого отчёта. Этот отчёт традиционно формируется исключительно из предоставленных банками–партнёрами материалов. Данный отчёт распространяется на всех тех мероприятиях, которые Совет проводит, а также рассылается руководителям департамента в Москве, а также всем руководителям и заместителям по финансам во все субъекты Российской Федерации. Поэтому аудитория у нас тоже достаточно стандартная, мы потом получаем некие благодарственные письма за</w:t>
      </w:r>
      <w:r>
        <w:rPr>
          <w:bCs/>
          <w:szCs w:val="24"/>
          <w:shd w:val="clear" w:color="auto" w:fill="FFFFFF"/>
        </w:rPr>
        <w:t xml:space="preserve"> </w:t>
      </w:r>
      <w:r w:rsidRPr="00A01995">
        <w:rPr>
          <w:bCs/>
          <w:szCs w:val="24"/>
          <w:shd w:val="clear" w:color="auto" w:fill="FFFFFF"/>
        </w:rPr>
        <w:t xml:space="preserve">предоставленные отчёты. Поэтому надеемся, что и в этом году вы предоставите такую информацию, что позволит нам издать этот годовой отчёт. Спасибо. </w:t>
      </w:r>
    </w:p>
    <w:p w:rsidR="00517619" w:rsidRDefault="00517619" w:rsidP="00251594">
      <w:pPr>
        <w:pStyle w:val="a4"/>
        <w:spacing w:after="0"/>
        <w:jc w:val="both"/>
      </w:pPr>
      <w:r w:rsidRPr="00A01995">
        <w:rPr>
          <w:b/>
        </w:rPr>
        <w:t>Торсунян Г.А.:</w:t>
      </w:r>
      <w:r w:rsidRPr="00A01995">
        <w:t xml:space="preserve"> Спасибо. Вопросы есть? Коллеги, кстати, я так понимаю, что я Антона Эдуардовича Купринова не представил, руководителя нового фонда содействия кредитования малого бизнеса. Но с другой стороны я вижу, что вы по вот тем картинкам, которые здесь</w:t>
      </w:r>
      <w:r>
        <w:t xml:space="preserve"> </w:t>
      </w:r>
      <w:r w:rsidRPr="00A01995">
        <w:t>в отчёте, вы здесь уже не первый раз. Так вот, коллеги, сейчас, конечно, время</w:t>
      </w:r>
      <w:r>
        <w:t xml:space="preserve"> </w:t>
      </w:r>
      <w:r w:rsidRPr="00A01995">
        <w:t>очень сложное, хотя мы всегда, каждый год об этом говорим. Но действительно, мы понимаем, что сейчас, наверное, какой-то эксклюзивный такой период. И</w:t>
      </w:r>
      <w:r>
        <w:t xml:space="preserve"> </w:t>
      </w:r>
      <w:r w:rsidRPr="00A01995">
        <w:t>поэтому тема, которую мы сегодня выносим на обсуждение, «О перспективах развития системы поддержки субъектов малого и среднего предпринимательства», является сверх актуальной, потому что искать драйверы роста в экономике стало всё тяжелее и тяжелее. Потребкредитование у нас пошло с минусом 30%, соответственно, у нас просрочка. Извините, минус 30%, конечно же, не дай бог. Не дай бог, чтобы был такой отрицательный показатель по кредитованию. Речь идёт о том, что просрочка по потребкредитам выросла на 30%, а просрочка по</w:t>
      </w:r>
      <w:r>
        <w:t xml:space="preserve"> </w:t>
      </w:r>
      <w:r w:rsidRPr="00A01995">
        <w:t xml:space="preserve">корпоративным кредитам выросла на почти 69%, если не ошибаюсь или около 60%. Но все эти показатели очень-очень удручающие. И, конечно, искать те точки роста, которые мы можем как-то стимулировать и способствовать этому, для нас крайне важно. И поэтому сегодняшняя тема более, чем актуальна. </w:t>
      </w:r>
    </w:p>
    <w:p w:rsidR="00517619" w:rsidRDefault="00517619" w:rsidP="00251594">
      <w:pPr>
        <w:pStyle w:val="a4"/>
        <w:spacing w:after="0"/>
        <w:jc w:val="both"/>
      </w:pPr>
      <w:r w:rsidRPr="00A01995">
        <w:t>Я вот пытаюсь точные цифры сейчас найти, справки. Да, у нас получается просрочка по кооперативам почти 66%, по корпоративным кредитам. Так что для нас очень важно создание государственной корпорации по развитию малого и среднего предпринимательства. И мы, я думаю, что мы можем не дожидаться, пока Александр Арнольдович подъедет, чтобы использовать имеющееся время максимально насыщенно. Но несколько слов я буквально скажу о том, над чем в целом трудится ассоциация, и какие мы ставим приоритеты в нашем сегодняшнем совещании. Очень хотелось бы, чтобы деятельность вновь созданной корпорации особым образом спроектировалась на Московский регион. Ни для кого не секрет, что Московский регион всегда являлся специфическим и очень значительным, дающим некоторые ориентиры для остальных регионов. Хотя по ряду позиций и на местах довольно эффективно используют свои инструменты поддержки малого и среднего бизнеса. Тем не менее,</w:t>
      </w:r>
      <w:r>
        <w:t xml:space="preserve"> </w:t>
      </w:r>
      <w:r w:rsidRPr="00A01995">
        <w:t xml:space="preserve">Москва, я думаю, всегда в определённом лидирующем положении будет находиться. </w:t>
      </w:r>
    </w:p>
    <w:p w:rsidR="00517619" w:rsidRDefault="00517619" w:rsidP="00251594">
      <w:pPr>
        <w:pStyle w:val="a4"/>
        <w:spacing w:after="0"/>
        <w:jc w:val="both"/>
      </w:pPr>
      <w:r w:rsidRPr="00A01995">
        <w:t>И в этой части хотелось бы, чтобы наши отношения с Госкорпорацией выстроились именно в русле того, чтобы было показательно и наглядно продемонстрировано, как можно поработать, чтобы ситуацию на рынке изменить в пользу малого и среднего предпринимательства, в пользу поддержки. Инструменты, ни для кого не секрет, это инструменты гарантий, на которые нацелена Госкорпорация. Соответственно,</w:t>
      </w:r>
      <w:r>
        <w:t xml:space="preserve"> </w:t>
      </w:r>
      <w:r w:rsidRPr="00A01995">
        <w:t xml:space="preserve">компетенция фонда – это поручительство, которое фонд обеспечивает при выдаче кредитов. И сама </w:t>
      </w:r>
      <w:r w:rsidRPr="00A01995">
        <w:lastRenderedPageBreak/>
        <w:t xml:space="preserve">Москва, Правительство обеспечивает субсидии по компенсации процентной ставки. Если все эти инструменты эффективно и грамотно использовать, то мы, конечно, можем дать довольно серьёзный толчок малому и среднему бизнесу и показать пример для других регионов и для экономики в целом. В общем, такие задачи наши. И почему я очень настойчиво просил провести такую встречу. Александру Арнольдовичу я ставил вопрос о том, что одно дело работа с госструктурами, безусловно, нужная, важная и эффективная. Но другое дело - работа с нашими банками уполномоченными, с которыми сама корпорация тоже работает в своём массиве, в своей проекции. Но институт, который имеет 20-летнюю историю, который выстроил ту горизонталь отношений, которая во многих случаях оказывается более эффективной, чем только инструменты и институты, выстроенные по вертикали. Я хотел, чтобы наш коллега, господин Браверман убедился в этом в результате живого диалога. </w:t>
      </w:r>
    </w:p>
    <w:p w:rsidR="00517619" w:rsidRDefault="00517619" w:rsidP="00251594">
      <w:pPr>
        <w:pStyle w:val="a4"/>
        <w:spacing w:after="0"/>
        <w:jc w:val="both"/>
      </w:pPr>
      <w:r w:rsidRPr="00A01995">
        <w:t>Поэтому</w:t>
      </w:r>
      <w:r>
        <w:t xml:space="preserve"> </w:t>
      </w:r>
      <w:r w:rsidRPr="00A01995">
        <w:t>я очень надеюсь, что коллеги, которые сегодня присутствуют, руководители банков покажут на конкретных вопросах и примерах, что они владеют вопросом и достаточно настроены на то, чтобы обеспечивать продажу услуг разных форм господдержки, которые нужно отрабатывать и реализовывать не только в системе координат видения госструктур, но и с системе координат участников рынка. И я полагаю, что такого рода взаимодействие окажется обоюдно очень интересным, и в перспективе не только мы будем инициаторами такого рода встреч, но и встречно Госкорпорация будет ставить вопрос. Потому что по многим нашим формам взаимодействия, знаете,</w:t>
      </w:r>
      <w:r>
        <w:t xml:space="preserve"> </w:t>
      </w:r>
      <w:r w:rsidRPr="00A01995">
        <w:t>поначалу бывает, когда ты пытаешься убедить, что такая форма работы эффективна, а потом тебя начинают уже спрашивать, когда мы опять организуем, когда встретимся. В качестве примера, чуть-чуть отвлекусь. В начале 2000-х годов я Сергея Михайловича Игнатьева всё убеждал, что нужно встречаться не только с президиумом АРБ, не только с советом АР, а нужно и региональные банки собирать. Некоторые из них возглавляют местные ассоциации, и нужно их собирать. Он говорит, Гарегин Ашотович, ну что они нам</w:t>
      </w:r>
      <w:r>
        <w:t xml:space="preserve"> </w:t>
      </w:r>
      <w:r w:rsidRPr="00A01995">
        <w:t>нового расскажут? Мы, мол, и так здесь всё слышим и знаем. Тем не менее, я настоял, и с 2002 года по сей день ежегодно, теперь уже сменилось руководство Центрального банка, ежегодно в декабре месяце 21 декабря была очередная встреча председателя Центрального банка с региональными банковскими объединениями, которые возглавляют действующие банкиры. И Сергей Михайлович меня на второй-третий год уже спрашивал, когда мы соберёмся? И Эльвира Сахипзадовна с благодарностью ждёт этих встреч. Хотя понятно, что у нас в промежутке бывают встречи, вот президиум готовим опять же с руководством Центрального банка на март месяц. С министром финансов тоже в марте месяце будем проводить очередную рабочую встречу. Значит, 25 февраля будет Совет АРБ, тоже уже с первым заместителем руководителя Центрального банка. То есть мы разные форматы такого горизонтального взаимодействия отрабатываем, потому что в живом диалоге, в живом таком общении очень многие вопросы, которые кажутся либо трудно решаемы, либо только под одним углом зрения решаемые, становятся более удачно реализуемыми на практике. Тем не менее, несколько слов также о том, где мы сейчас находимся экономически,</w:t>
      </w:r>
      <w:r>
        <w:t xml:space="preserve"> </w:t>
      </w:r>
      <w:r w:rsidRPr="00A01995">
        <w:t xml:space="preserve">в какой экономической стадии. </w:t>
      </w:r>
    </w:p>
    <w:p w:rsidR="00517619" w:rsidRPr="00A01995" w:rsidRDefault="00517619" w:rsidP="00251594">
      <w:pPr>
        <w:pStyle w:val="a4"/>
        <w:spacing w:after="0"/>
        <w:jc w:val="both"/>
      </w:pPr>
      <w:r w:rsidRPr="00A01995">
        <w:t xml:space="preserve">Сегодня утром я проводил ежемесячную интернет-конференцию. Наверное, многие из вас слышали о том, что каждый месяц на базе одного из вузов (сегодня это было на базе «вышки»). Гостями у меня были Вьюгин, Яков Моисеевич Миркин и Солодков. И вот они все давали оценку состояния экономики, все выступили очень сильными оптимистами, потому что говорили, что есть вероятность, что спада больше минус 1-3 процентов не будет. </w:t>
      </w:r>
      <w:r w:rsidRPr="00A01995">
        <w:lastRenderedPageBreak/>
        <w:t>Так что мы все вдохновлённые с этой экскурсии ушли в надежде, что этот год, по крайней мере, будет более или менее стабильным с минусом 1-3% падения ВВП.</w:t>
      </w:r>
      <w:r>
        <w:t xml:space="preserve"> </w:t>
      </w:r>
      <w:r w:rsidRPr="00A01995">
        <w:t>Но это так, для ориентира, потому что, когда высочайшие эксперты собираются, и когда на 24 региона интернет-конференция шла, и более 50 и вузов и разных экспертов подключались к этой дискуссии, то мы лучше как-то чувствуем состояние рынка, дыхание, пульс рынка. И он нас заставляет понять, что ситуация без каких-то, как там было в одном из вопросов одного вуза, что Министерство финансов сказало, что нас ожидает 15-летняя стагнация, если не будут осуществлены реформы. Но дело в том, что, если не осуществлять реформы и не менять тот режим, в котором ты привык работать, то в любой стране будет стагнация. Поэтому, конечно же,</w:t>
      </w:r>
      <w:r>
        <w:t xml:space="preserve"> </w:t>
      </w:r>
      <w:r w:rsidRPr="00A01995">
        <w:t>мы должны реформировать, должны модернизировать, должны изменять что-то. И</w:t>
      </w:r>
      <w:r>
        <w:t xml:space="preserve"> </w:t>
      </w:r>
      <w:r w:rsidRPr="00A01995">
        <w:t>в данном случае я думаю, что малый и средний бизнес – это тот участок, который для нас наиболее интересен, потому что банки очень охотно идут на… Сегодня тоже были вопросы о кредитовании, дескать, что сделать, чтобы убедить банки кредитовать? Банки убеждать в кредитовании не нужно, говорил Вьюгин, отвечая на этот вопрос, потому что банки без кредитов только на комиссионных доходах жить не могут. Процентные доходы – это главная наша составляющая. Но для этого надо, чтобы было, кого кредитовать и чтобы было не 66%</w:t>
      </w:r>
      <w:r>
        <w:t xml:space="preserve"> </w:t>
      </w:r>
      <w:r w:rsidRPr="00A01995">
        <w:t>рост просрочки. Приветствую, вот Михаил Валерьевич к нам присоединяется, который огромную лепту внёс в оживление малого и среднего бизнеса, который наш мега регулятор теперь опекает. Единственное, опекайте так, чтобы не умер малый и средний бизнес, хорошо?</w:t>
      </w:r>
      <w:r>
        <w:t xml:space="preserve"> </w:t>
      </w:r>
      <w:r w:rsidRPr="00A01995">
        <w:t>Чтобы как с банками</w:t>
      </w:r>
      <w:r>
        <w:t xml:space="preserve"> </w:t>
      </w:r>
      <w:r w:rsidRPr="00A01995">
        <w:t>не получилось, с обратной траекторией. Поэтому сегодня для нас тема более, чем актуальная. И я надеюсь, что корпорация выступит таким системным интегратором государственных мер поддержки малого и среднего предпринимательства. И обеспечит комплексность государственной поддержки совместно с банками. Вот наша задача,</w:t>
      </w:r>
      <w:r>
        <w:t xml:space="preserve"> </w:t>
      </w:r>
      <w:r w:rsidRPr="00A01995">
        <w:t>пункт 2 повестки. Поэтому я хотел бы предоставить сейчас слово нашим коллегам, но я сначала уточню, Александр Арнольдович не заблудился и далеко ли он, потому что не хотелось бы, чтобы кто-то не был услышан первым лицом корпорации. Поэтому с вашего разрешения, если есть у кого-то вопросы или какие-то реплики, давайте, высказывайтесь, а я пока наберу Александру Арнольдовичу. Пожалуйста, коллеги. Давайте начнём обсуждение, чтобы ключевая фигура этого обсуждения была бы вместе с тем. Тем не менее я думаю, что было бы совершенно разумно, если бы Геннадий Валентинович выставил бы в некотором смысле московские приоритеты, приоритеты московского правительства в вопросе развития и конкуренции, и малого/среднего предпринимательства. Не возражаете?</w:t>
      </w:r>
    </w:p>
    <w:p w:rsidR="00517619" w:rsidRDefault="00517619" w:rsidP="00251594">
      <w:pPr>
        <w:pStyle w:val="a4"/>
        <w:spacing w:after="0"/>
        <w:jc w:val="both"/>
      </w:pPr>
      <w:r w:rsidRPr="00F63B98">
        <w:rPr>
          <w:b/>
        </w:rPr>
        <w:t>Геннадий Валентинович:</w:t>
      </w:r>
      <w:r w:rsidRPr="00A01995">
        <w:t xml:space="preserve"> Спасибо. Уважаемый Гарегин Ашотович,</w:t>
      </w:r>
      <w:r>
        <w:t xml:space="preserve"> </w:t>
      </w:r>
      <w:r w:rsidRPr="00A01995">
        <w:t xml:space="preserve">уважаемые коллеги! По поручению Натальи Алексеевны, руководителя комплекса земельно-имущественных отношений, заместителя мэра Москвы Правительства Москвы хотел бы поделиться соображениями по взаимодействию и с Ассоциацией российских банков, и с корпорацией СМПР. В Правительство города Москвы по поддержке субъектов малого и среднего предпринимательства сформированы различные институты. И, на мой взгляд, можно было бы понимать, какие институты для развития в них могли бы принимать участие Ассоциация российских банков. Естественно, тот приоритет, по которому сейчас Гарегин Ашотович общался с Александром Арнольдовичем, у правительства является ведущим в силу того, что сейчас рассматривается повестка соглашения или проект соглашения о взаимодействии Правительства Москвы с корпорацией. Суть этого соглашения достаточно понятная, что с появлением государственной корпорации СМП по поддержке малого и среднего бизнеса совершенно чётко возникает необходимость понимания нескольких направлений </w:t>
      </w:r>
      <w:r w:rsidRPr="00A01995">
        <w:lastRenderedPageBreak/>
        <w:t>деятельности. Первое – это сё-таки регулятор, 223 закон хозяйствующих субъектов, кто будет осуществлять закупки. То есть та прямая поддержка, когда портфель заказов хозяйствующих субъектов по нашей оценке может составлять там год до 100 млрд. рублей. Там есть определённый перечень, задача нас как Правительства Москвы и соответствующих руководителей хозяйствующих субъектов в первую очередь определить коды и виды</w:t>
      </w:r>
      <w:r>
        <w:t xml:space="preserve"> </w:t>
      </w:r>
      <w:r w:rsidRPr="00A01995">
        <w:t xml:space="preserve">деятельности, по которым эти средства могли направляться целевым образом. </w:t>
      </w:r>
    </w:p>
    <w:p w:rsidR="00517619" w:rsidRDefault="00517619" w:rsidP="00251594">
      <w:pPr>
        <w:pStyle w:val="a4"/>
        <w:spacing w:after="0"/>
        <w:jc w:val="both"/>
      </w:pPr>
      <w:r w:rsidRPr="00A01995">
        <w:t xml:space="preserve">Вторая задача – это, конечно, с учётом того, что формат 223 закона шире, чем государственные закупки, то, естественно, встанет тот же вопрос, какая будет оказываться поддержка банками с точки зрения банковских гарантий либо по участию в закупках, либо при заключении договоров. Мы у себя пошли на типовые решения и сейчас их погружаем для того, чтобы можно было также гарантировано понимать, какие условия для банков являются приемлемыми, чтобы сохранился тот порядок, который на 44 законе в определённой степени отработан, на сегодняшний день является достаточно существенным содержательным регулятором. И мы надеемся, что этот опыт также будет дифференцировано использован для того, чтобы эти условия создать именно по поддержке субъектов малого предпринимательства. Следующий раздел – это то, что коллеги из Департамента науки представили на слайде. Создание инструментов инфраструктуры различных фондов, которые могли бы иметь и финансовый потенциал, и возможность взаимодействия, как нам кажется, и фонд содействия развития микрофинансирования, развития венчурного инвестирования и кредитования малого бизнеса преследуют целевые показатели, которые нацелены на одно. Что если их синергию вместе с корпорацией СМП, с ассоциацией банков по регламентам и условиям, когда предприятия могут как бы понятным срокам получать поддержку от банковского сегмента, то эффективность их деятельности будет на порядке выше. </w:t>
      </w:r>
    </w:p>
    <w:p w:rsidR="00517619" w:rsidRPr="00A01995" w:rsidRDefault="00517619" w:rsidP="00251594">
      <w:pPr>
        <w:pStyle w:val="a4"/>
        <w:spacing w:after="0"/>
        <w:jc w:val="both"/>
      </w:pPr>
      <w:r>
        <w:t>\</w:t>
      </w:r>
    </w:p>
    <w:sectPr w:rsidR="00517619" w:rsidRPr="00A01995" w:rsidSect="008169BE">
      <w:headerReference w:type="default" r:id="rId8"/>
      <w:footerReference w:type="default" r:id="rId9"/>
      <w:pgSz w:w="11906" w:h="16838"/>
      <w:pgMar w:top="851" w:right="85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5E" w:rsidRDefault="000E305E" w:rsidP="00251594">
      <w:pPr>
        <w:spacing w:after="0" w:line="240" w:lineRule="auto"/>
      </w:pPr>
      <w:r>
        <w:separator/>
      </w:r>
    </w:p>
  </w:endnote>
  <w:endnote w:type="continuationSeparator" w:id="0">
    <w:p w:rsidR="000E305E" w:rsidRDefault="000E305E" w:rsidP="0025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19" w:rsidRDefault="000E305E">
    <w:pPr>
      <w:pStyle w:val="a8"/>
      <w:jc w:val="right"/>
    </w:pPr>
    <w:r>
      <w:fldChar w:fldCharType="begin"/>
    </w:r>
    <w:r>
      <w:instrText>PAGE   \* MERGEFORMAT</w:instrText>
    </w:r>
    <w:r>
      <w:fldChar w:fldCharType="separate"/>
    </w:r>
    <w:r w:rsidR="005763F2">
      <w:rPr>
        <w:noProof/>
      </w:rPr>
      <w:t>2</w:t>
    </w:r>
    <w:r>
      <w:rPr>
        <w:noProof/>
      </w:rPr>
      <w:fldChar w:fldCharType="end"/>
    </w:r>
  </w:p>
  <w:p w:rsidR="00517619" w:rsidRDefault="005176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5E" w:rsidRDefault="000E305E" w:rsidP="00251594">
      <w:pPr>
        <w:spacing w:after="0" w:line="240" w:lineRule="auto"/>
      </w:pPr>
      <w:r>
        <w:separator/>
      </w:r>
    </w:p>
  </w:footnote>
  <w:footnote w:type="continuationSeparator" w:id="0">
    <w:p w:rsidR="000E305E" w:rsidRDefault="000E305E" w:rsidP="00251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19" w:rsidRDefault="00517619" w:rsidP="00251594">
    <w:pPr>
      <w:pStyle w:val="a6"/>
      <w:jc w:val="center"/>
    </w:pPr>
    <w:r w:rsidRPr="00251594">
      <w:t>2016-02-18-zased-obshestv</w:t>
    </w:r>
  </w:p>
  <w:p w:rsidR="00517619" w:rsidRDefault="005176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E0E72"/>
    <w:multiLevelType w:val="hybridMultilevel"/>
    <w:tmpl w:val="566614CA"/>
    <w:lvl w:ilvl="0" w:tplc="8A5680F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FA"/>
    <w:rsid w:val="00007838"/>
    <w:rsid w:val="0004208D"/>
    <w:rsid w:val="000478D3"/>
    <w:rsid w:val="0007669A"/>
    <w:rsid w:val="000945F3"/>
    <w:rsid w:val="000D3463"/>
    <w:rsid w:val="000E305E"/>
    <w:rsid w:val="000E4B8C"/>
    <w:rsid w:val="00102844"/>
    <w:rsid w:val="00103BE0"/>
    <w:rsid w:val="00111E58"/>
    <w:rsid w:val="001431F9"/>
    <w:rsid w:val="001440B2"/>
    <w:rsid w:val="0016268F"/>
    <w:rsid w:val="00165051"/>
    <w:rsid w:val="00170766"/>
    <w:rsid w:val="00171437"/>
    <w:rsid w:val="00174C08"/>
    <w:rsid w:val="00194483"/>
    <w:rsid w:val="001B3451"/>
    <w:rsid w:val="001C06CE"/>
    <w:rsid w:val="001D24FA"/>
    <w:rsid w:val="001E0553"/>
    <w:rsid w:val="001E0DAE"/>
    <w:rsid w:val="001E46CA"/>
    <w:rsid w:val="001F592D"/>
    <w:rsid w:val="002115CB"/>
    <w:rsid w:val="00220A3D"/>
    <w:rsid w:val="00226212"/>
    <w:rsid w:val="00230AF1"/>
    <w:rsid w:val="00232BEA"/>
    <w:rsid w:val="002504D9"/>
    <w:rsid w:val="00251594"/>
    <w:rsid w:val="00252DBD"/>
    <w:rsid w:val="00253635"/>
    <w:rsid w:val="00264880"/>
    <w:rsid w:val="002860FF"/>
    <w:rsid w:val="00297D66"/>
    <w:rsid w:val="002A439A"/>
    <w:rsid w:val="002C4DBE"/>
    <w:rsid w:val="002E16B8"/>
    <w:rsid w:val="002E6174"/>
    <w:rsid w:val="0031064D"/>
    <w:rsid w:val="00313240"/>
    <w:rsid w:val="00321638"/>
    <w:rsid w:val="00321DD6"/>
    <w:rsid w:val="00324951"/>
    <w:rsid w:val="00335C9E"/>
    <w:rsid w:val="0035461C"/>
    <w:rsid w:val="00366A99"/>
    <w:rsid w:val="00384988"/>
    <w:rsid w:val="003A0709"/>
    <w:rsid w:val="003A61FE"/>
    <w:rsid w:val="003C50DB"/>
    <w:rsid w:val="003D1780"/>
    <w:rsid w:val="003D6C62"/>
    <w:rsid w:val="003F5965"/>
    <w:rsid w:val="003F6931"/>
    <w:rsid w:val="003F7A6E"/>
    <w:rsid w:val="00400E60"/>
    <w:rsid w:val="00406E76"/>
    <w:rsid w:val="004241B1"/>
    <w:rsid w:val="0046400B"/>
    <w:rsid w:val="00465B45"/>
    <w:rsid w:val="00492252"/>
    <w:rsid w:val="004B3D51"/>
    <w:rsid w:val="004C7CF7"/>
    <w:rsid w:val="004E007A"/>
    <w:rsid w:val="004F1312"/>
    <w:rsid w:val="004F6650"/>
    <w:rsid w:val="004F6FB2"/>
    <w:rsid w:val="005061E5"/>
    <w:rsid w:val="00511264"/>
    <w:rsid w:val="00514075"/>
    <w:rsid w:val="00514EEB"/>
    <w:rsid w:val="00517619"/>
    <w:rsid w:val="00522BA8"/>
    <w:rsid w:val="0054740C"/>
    <w:rsid w:val="005763F2"/>
    <w:rsid w:val="005B1BC9"/>
    <w:rsid w:val="00601A60"/>
    <w:rsid w:val="00611297"/>
    <w:rsid w:val="00615F57"/>
    <w:rsid w:val="006227AF"/>
    <w:rsid w:val="0065571F"/>
    <w:rsid w:val="006729BA"/>
    <w:rsid w:val="00680518"/>
    <w:rsid w:val="00687A70"/>
    <w:rsid w:val="006B25C3"/>
    <w:rsid w:val="0071548B"/>
    <w:rsid w:val="00721D84"/>
    <w:rsid w:val="00735E3F"/>
    <w:rsid w:val="00743078"/>
    <w:rsid w:val="00746D87"/>
    <w:rsid w:val="00796A97"/>
    <w:rsid w:val="007A2656"/>
    <w:rsid w:val="007D069D"/>
    <w:rsid w:val="007E3990"/>
    <w:rsid w:val="007F0F84"/>
    <w:rsid w:val="008169BE"/>
    <w:rsid w:val="0084030F"/>
    <w:rsid w:val="00840F43"/>
    <w:rsid w:val="00850470"/>
    <w:rsid w:val="008568BD"/>
    <w:rsid w:val="00866E44"/>
    <w:rsid w:val="008713A5"/>
    <w:rsid w:val="00871F6B"/>
    <w:rsid w:val="0088133C"/>
    <w:rsid w:val="00885F7A"/>
    <w:rsid w:val="00894221"/>
    <w:rsid w:val="00895862"/>
    <w:rsid w:val="0089764C"/>
    <w:rsid w:val="008C2D2D"/>
    <w:rsid w:val="00906B71"/>
    <w:rsid w:val="00914A99"/>
    <w:rsid w:val="00933DFD"/>
    <w:rsid w:val="0093516C"/>
    <w:rsid w:val="00956895"/>
    <w:rsid w:val="00980E23"/>
    <w:rsid w:val="009820D2"/>
    <w:rsid w:val="009871EB"/>
    <w:rsid w:val="009912C8"/>
    <w:rsid w:val="00991A1B"/>
    <w:rsid w:val="009B4530"/>
    <w:rsid w:val="009D2DB1"/>
    <w:rsid w:val="009E2563"/>
    <w:rsid w:val="009F51A9"/>
    <w:rsid w:val="00A000A8"/>
    <w:rsid w:val="00A01995"/>
    <w:rsid w:val="00A05F30"/>
    <w:rsid w:val="00A25BBC"/>
    <w:rsid w:val="00A522EE"/>
    <w:rsid w:val="00A53829"/>
    <w:rsid w:val="00A54685"/>
    <w:rsid w:val="00A6287A"/>
    <w:rsid w:val="00A62FC4"/>
    <w:rsid w:val="00A706E9"/>
    <w:rsid w:val="00A73AC7"/>
    <w:rsid w:val="00A924D0"/>
    <w:rsid w:val="00AA570D"/>
    <w:rsid w:val="00AB6E0F"/>
    <w:rsid w:val="00AD0CB2"/>
    <w:rsid w:val="00AD7B47"/>
    <w:rsid w:val="00AE1722"/>
    <w:rsid w:val="00AE7129"/>
    <w:rsid w:val="00B00C6A"/>
    <w:rsid w:val="00B17A6E"/>
    <w:rsid w:val="00B2529C"/>
    <w:rsid w:val="00B36DF0"/>
    <w:rsid w:val="00B47DDD"/>
    <w:rsid w:val="00B56D5F"/>
    <w:rsid w:val="00B957AB"/>
    <w:rsid w:val="00B95D72"/>
    <w:rsid w:val="00B9766F"/>
    <w:rsid w:val="00BB5D1E"/>
    <w:rsid w:val="00BB63C8"/>
    <w:rsid w:val="00BD1233"/>
    <w:rsid w:val="00BE5A3D"/>
    <w:rsid w:val="00BE7768"/>
    <w:rsid w:val="00BF7045"/>
    <w:rsid w:val="00C007DD"/>
    <w:rsid w:val="00C063F7"/>
    <w:rsid w:val="00C317FA"/>
    <w:rsid w:val="00C44929"/>
    <w:rsid w:val="00C46845"/>
    <w:rsid w:val="00C50FFC"/>
    <w:rsid w:val="00C714A0"/>
    <w:rsid w:val="00C81808"/>
    <w:rsid w:val="00C929A9"/>
    <w:rsid w:val="00C93E36"/>
    <w:rsid w:val="00CA3AE4"/>
    <w:rsid w:val="00CB2FA8"/>
    <w:rsid w:val="00CB4CD7"/>
    <w:rsid w:val="00CB5C3F"/>
    <w:rsid w:val="00CD759D"/>
    <w:rsid w:val="00CE097B"/>
    <w:rsid w:val="00D01822"/>
    <w:rsid w:val="00D16D74"/>
    <w:rsid w:val="00D2181B"/>
    <w:rsid w:val="00D27111"/>
    <w:rsid w:val="00D37B13"/>
    <w:rsid w:val="00D45ED5"/>
    <w:rsid w:val="00D52952"/>
    <w:rsid w:val="00D5739D"/>
    <w:rsid w:val="00D60F4F"/>
    <w:rsid w:val="00D634F0"/>
    <w:rsid w:val="00D764E6"/>
    <w:rsid w:val="00D81826"/>
    <w:rsid w:val="00D842D2"/>
    <w:rsid w:val="00DC64C2"/>
    <w:rsid w:val="00DD1633"/>
    <w:rsid w:val="00DD6480"/>
    <w:rsid w:val="00DE4262"/>
    <w:rsid w:val="00DE6B56"/>
    <w:rsid w:val="00E05492"/>
    <w:rsid w:val="00E101D5"/>
    <w:rsid w:val="00E149D9"/>
    <w:rsid w:val="00E47728"/>
    <w:rsid w:val="00E529CA"/>
    <w:rsid w:val="00EB284C"/>
    <w:rsid w:val="00EE04F3"/>
    <w:rsid w:val="00EE3FAF"/>
    <w:rsid w:val="00EF7ADF"/>
    <w:rsid w:val="00F37307"/>
    <w:rsid w:val="00F4340C"/>
    <w:rsid w:val="00F51FD8"/>
    <w:rsid w:val="00F63B98"/>
    <w:rsid w:val="00F80EC3"/>
    <w:rsid w:val="00F83B0E"/>
    <w:rsid w:val="00F96BC3"/>
    <w:rsid w:val="00FA2DE8"/>
    <w:rsid w:val="00FA33A2"/>
    <w:rsid w:val="00FB6557"/>
    <w:rsid w:val="00FB7661"/>
    <w:rsid w:val="00FC5F9A"/>
    <w:rsid w:val="00FD14EC"/>
    <w:rsid w:val="00FD1675"/>
    <w:rsid w:val="00FD41C8"/>
    <w:rsid w:val="00FE0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B957AB"/>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57AB"/>
    <w:pPr>
      <w:ind w:left="720"/>
    </w:pPr>
  </w:style>
  <w:style w:type="paragraph" w:customStyle="1" w:styleId="a4">
    <w:name w:val="Транскрипции"/>
    <w:basedOn w:val="a"/>
    <w:uiPriority w:val="99"/>
    <w:rsid w:val="001D24FA"/>
    <w:rPr>
      <w:rFonts w:ascii="Times New Roman" w:hAnsi="Times New Roman"/>
      <w:sz w:val="24"/>
    </w:rPr>
  </w:style>
  <w:style w:type="character" w:styleId="a5">
    <w:name w:val="Book Title"/>
    <w:basedOn w:val="a0"/>
    <w:uiPriority w:val="99"/>
    <w:qFormat/>
    <w:rsid w:val="00B957AB"/>
    <w:rPr>
      <w:rFonts w:cs="Times New Roman"/>
      <w:b/>
      <w:bCs/>
      <w:smallCaps/>
      <w:spacing w:val="5"/>
    </w:rPr>
  </w:style>
  <w:style w:type="paragraph" w:styleId="HTML">
    <w:name w:val="HTML Preformatted"/>
    <w:basedOn w:val="a"/>
    <w:link w:val="HTML0"/>
    <w:uiPriority w:val="99"/>
    <w:semiHidden/>
    <w:rsid w:val="0004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0478D3"/>
    <w:rPr>
      <w:rFonts w:ascii="Courier New" w:hAnsi="Courier New" w:cs="Courier New"/>
      <w:sz w:val="20"/>
      <w:szCs w:val="20"/>
      <w:lang w:eastAsia="ru-RU"/>
    </w:rPr>
  </w:style>
  <w:style w:type="character" w:customStyle="1" w:styleId="apple-converted-space">
    <w:name w:val="apple-converted-space"/>
    <w:basedOn w:val="a0"/>
    <w:uiPriority w:val="99"/>
    <w:rsid w:val="00885F7A"/>
    <w:rPr>
      <w:rFonts w:cs="Times New Roman"/>
    </w:rPr>
  </w:style>
  <w:style w:type="paragraph" w:styleId="a6">
    <w:name w:val="header"/>
    <w:basedOn w:val="a"/>
    <w:link w:val="a7"/>
    <w:uiPriority w:val="99"/>
    <w:rsid w:val="002515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1594"/>
    <w:rPr>
      <w:rFonts w:eastAsia="Times New Roman" w:cs="Times New Roman"/>
      <w:lang w:eastAsia="ru-RU"/>
    </w:rPr>
  </w:style>
  <w:style w:type="paragraph" w:styleId="a8">
    <w:name w:val="footer"/>
    <w:basedOn w:val="a"/>
    <w:link w:val="a9"/>
    <w:uiPriority w:val="99"/>
    <w:rsid w:val="002515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1594"/>
    <w:rPr>
      <w:rFonts w:eastAsia="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B957AB"/>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57AB"/>
    <w:pPr>
      <w:ind w:left="720"/>
    </w:pPr>
  </w:style>
  <w:style w:type="paragraph" w:customStyle="1" w:styleId="a4">
    <w:name w:val="Транскрипции"/>
    <w:basedOn w:val="a"/>
    <w:uiPriority w:val="99"/>
    <w:rsid w:val="001D24FA"/>
    <w:rPr>
      <w:rFonts w:ascii="Times New Roman" w:hAnsi="Times New Roman"/>
      <w:sz w:val="24"/>
    </w:rPr>
  </w:style>
  <w:style w:type="character" w:styleId="a5">
    <w:name w:val="Book Title"/>
    <w:basedOn w:val="a0"/>
    <w:uiPriority w:val="99"/>
    <w:qFormat/>
    <w:rsid w:val="00B957AB"/>
    <w:rPr>
      <w:rFonts w:cs="Times New Roman"/>
      <w:b/>
      <w:bCs/>
      <w:smallCaps/>
      <w:spacing w:val="5"/>
    </w:rPr>
  </w:style>
  <w:style w:type="paragraph" w:styleId="HTML">
    <w:name w:val="HTML Preformatted"/>
    <w:basedOn w:val="a"/>
    <w:link w:val="HTML0"/>
    <w:uiPriority w:val="99"/>
    <w:semiHidden/>
    <w:rsid w:val="0004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0478D3"/>
    <w:rPr>
      <w:rFonts w:ascii="Courier New" w:hAnsi="Courier New" w:cs="Courier New"/>
      <w:sz w:val="20"/>
      <w:szCs w:val="20"/>
      <w:lang w:eastAsia="ru-RU"/>
    </w:rPr>
  </w:style>
  <w:style w:type="character" w:customStyle="1" w:styleId="apple-converted-space">
    <w:name w:val="apple-converted-space"/>
    <w:basedOn w:val="a0"/>
    <w:uiPriority w:val="99"/>
    <w:rsid w:val="00885F7A"/>
    <w:rPr>
      <w:rFonts w:cs="Times New Roman"/>
    </w:rPr>
  </w:style>
  <w:style w:type="paragraph" w:styleId="a6">
    <w:name w:val="header"/>
    <w:basedOn w:val="a"/>
    <w:link w:val="a7"/>
    <w:uiPriority w:val="99"/>
    <w:rsid w:val="002515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1594"/>
    <w:rPr>
      <w:rFonts w:eastAsia="Times New Roman" w:cs="Times New Roman"/>
      <w:lang w:eastAsia="ru-RU"/>
    </w:rPr>
  </w:style>
  <w:style w:type="paragraph" w:styleId="a8">
    <w:name w:val="footer"/>
    <w:basedOn w:val="a"/>
    <w:link w:val="a9"/>
    <w:uiPriority w:val="99"/>
    <w:rsid w:val="002515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1594"/>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11209">
      <w:marLeft w:val="0"/>
      <w:marRight w:val="0"/>
      <w:marTop w:val="0"/>
      <w:marBottom w:val="0"/>
      <w:divBdr>
        <w:top w:val="none" w:sz="0" w:space="0" w:color="auto"/>
        <w:left w:val="none" w:sz="0" w:space="0" w:color="auto"/>
        <w:bottom w:val="none" w:sz="0" w:space="0" w:color="auto"/>
        <w:right w:val="none" w:sz="0" w:space="0" w:color="auto"/>
      </w:divBdr>
    </w:div>
    <w:div w:id="1087311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3019</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c:creator>
  <cp:lastModifiedBy>User</cp:lastModifiedBy>
  <cp:revision>2</cp:revision>
  <dcterms:created xsi:type="dcterms:W3CDTF">2017-12-21T04:47:00Z</dcterms:created>
  <dcterms:modified xsi:type="dcterms:W3CDTF">2017-12-21T04:47:00Z</dcterms:modified>
</cp:coreProperties>
</file>