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s-2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</w:p>
    <w:p>
      <w:pPr>
        <w:spacing w:before="0" w:after="0" w:line="202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RCER-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I,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Regu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ations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nda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8"/>
          <w:szCs w:val="28"/>
          <w:spacing w:val="6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Environmen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Regulatory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20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policies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potential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impacts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activities.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2" w:lineRule="auto"/>
        <w:ind w:left="971" w:right="58" w:firstLine="-851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Environmental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Regulations-2015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(RCER-2015)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supersede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-2010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September,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(1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Dhu’al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Qidah,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1436).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2" w:lineRule="auto"/>
        <w:ind w:left="971" w:right="58" w:firstLine="-851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modified,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reconstructed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13"/>
          <w:szCs w:val="13"/>
          <w:spacing w:val="26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September,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(1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3"/>
          <w:szCs w:val="13"/>
          <w:spacing w:val="26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Dhu’al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Qidah,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1436)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unless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otherwise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stated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specific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sections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regulations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exemption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anted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accordance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Clause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1.1.6.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71" w:right="63" w:firstLine="-851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Jubail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Yanbu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Khair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hereinafter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City",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ccordance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71" w:right="62" w:firstLine="-851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minimize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carry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measures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easonable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adverse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impacts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1.1.5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knowledgeable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Environmental</w:t>
      </w:r>
    </w:p>
    <w:p>
      <w:pPr>
        <w:spacing w:before="0" w:after="0" w:line="240" w:lineRule="auto"/>
        <w:ind w:left="9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971" w:right="63" w:firstLine="-851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exemption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operations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non-compliant.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31" w:right="1143" w:firstLine="-360"/>
        <w:jc w:val="both"/>
        <w:tabs>
          <w:tab w:pos="2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separate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justification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subject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considered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peculiar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facility's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situation,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substantial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financial,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technological,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31" w:right="1143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subject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achieved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plan.</w:t>
      </w:r>
    </w:p>
    <w:p>
      <w:pPr>
        <w:spacing w:before="3" w:after="0" w:line="230" w:lineRule="exact"/>
        <w:ind w:left="1331" w:right="11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reject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consultation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stipulate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valid.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1" w:right="1143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affected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Royal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136" w:right="42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WASEEMATTA</dc:creator>
  <dc:title>Microsoft Word - RCER-2015-Volume I- RC EPCD Jubail Final (30-June-2015).doc</dc:title>
  <dcterms:created xsi:type="dcterms:W3CDTF">2018-06-14T12:05:44Z</dcterms:created>
  <dcterms:modified xsi:type="dcterms:W3CDTF">2018-06-14T12:05:44Z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2018-06-14T00:00:00Z</vt:filetime>
  </property>
</Properties>
</file>