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92114510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66"/>
          </w:tblGrid>
          <w:tr w:rsidR="00CD33E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1A901A6BEF0946909956D256C05D3C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33EA" w:rsidRDefault="00DC1063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Home</w:t>
                    </w:r>
                  </w:p>
                </w:tc>
              </w:sdtContent>
            </w:sdt>
          </w:tr>
          <w:tr w:rsidR="00CD33E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F9A1794AEE44F33AC91394AB5C40C4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D33EA" w:rsidRDefault="00DC1063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ОБЩИЕ УСЛОВИЯ</w:t>
                    </w:r>
                  </w:p>
                </w:sdtContent>
              </w:sdt>
            </w:tc>
          </w:tr>
          <w:tr w:rsidR="00CD33EA" w:rsidTr="00CD33EA">
            <w:trPr>
              <w:trHeight w:val="2971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Подзаголовок"/>
                <w:id w:val="13406923"/>
                <w:placeholder>
                  <w:docPart w:val="33B244026DFA43F2BCB40E58C2E1A86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33EA" w:rsidRPr="00CD33EA" w:rsidRDefault="00DC1063" w:rsidP="00CD33EA">
                    <w:pPr>
                      <w:tabs>
                        <w:tab w:val="left" w:pos="1675"/>
                      </w:tabs>
                      <w:rPr>
                        <w:lang w:eastAsia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МИНИСТЕРСТВО ТРАНСПОРТА И КОММУНИКАЦИЙ КЫРГЫЗСКОЙ РЕСПУБЛИКИ РЕКОНСТРУКЦИЯ АВТОДОРОГИ ТАРАЗ-ТАЛАС-СУУСАМЫР  III. ФАЗА, КМ 75-105</w:t>
                    </w:r>
                  </w:p>
                </w:tc>
              </w:sdtContent>
            </w:sdt>
          </w:tr>
        </w:tbl>
        <w:p w:rsidR="00CD33EA" w:rsidRDefault="00CD33EA"/>
        <w:p w:rsidR="00CD33EA" w:rsidRDefault="00CD33EA"/>
        <w:tbl>
          <w:tblPr>
            <w:tblpPr w:leftFromText="187" w:rightFromText="187" w:horzAnchor="margin" w:tblpXSpec="center" w:tblpYSpec="bottom"/>
            <w:tblW w:w="4680" w:type="pct"/>
            <w:tblLook w:val="04A0" w:firstRow="1" w:lastRow="0" w:firstColumn="1" w:lastColumn="0" w:noHBand="0" w:noVBand="1"/>
          </w:tblPr>
          <w:tblGrid>
            <w:gridCol w:w="8756"/>
          </w:tblGrid>
          <w:tr w:rsidR="00CD33EA" w:rsidTr="003B0F2A">
            <w:tc>
              <w:tcPr>
                <w:tcW w:w="89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D33EA" w:rsidRDefault="00580084" w:rsidP="00CD33EA">
                <w:sdt>
                  <w:sdtPr>
                    <w:alias w:val="Автор"/>
                    <w:id w:val="13406928"/>
                    <w:placeholder>
                      <w:docPart w:val="C5E3D452D1A14DF99D9CE3B2EC4E364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C1063">
                      <w:t>2. Руководство Пользователя – Работы по Приобретению     Раздел X. Договорные Формы</w:t>
                    </w:r>
                  </w:sdtContent>
                </w:sdt>
                <w:r w:rsidR="00CD33EA">
                  <w:t xml:space="preserve">  </w:t>
                </w:r>
              </w:p>
              <w:p w:rsidR="00CD33EA" w:rsidRDefault="00CD33EA">
                <w:pPr>
                  <w:pStyle w:val="a9"/>
                  <w:rPr>
                    <w:color w:val="4F81BD" w:themeColor="accent1"/>
                  </w:rPr>
                </w:pPr>
              </w:p>
              <w:p w:rsidR="00CD33EA" w:rsidRDefault="00CD33EA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CD33EA" w:rsidRDefault="00CD33EA"/>
        <w:p w:rsidR="00CD33EA" w:rsidRDefault="00580084"/>
      </w:sdtContent>
    </w:sdt>
    <w:p w:rsidR="00B53520" w:rsidRDefault="00B53520" w:rsidP="00D934A9">
      <w:pPr>
        <w:jc w:val="center"/>
        <w:rPr>
          <w:b/>
          <w:sz w:val="96"/>
          <w:szCs w:val="96"/>
        </w:rPr>
      </w:pPr>
    </w:p>
    <w:p w:rsidR="00B53520" w:rsidRDefault="00B53520" w:rsidP="00D934A9">
      <w:pPr>
        <w:jc w:val="center"/>
        <w:rPr>
          <w:b/>
          <w:sz w:val="96"/>
          <w:szCs w:val="96"/>
        </w:rPr>
      </w:pPr>
    </w:p>
    <w:p w:rsidR="0080215F" w:rsidRDefault="0080215F" w:rsidP="00D934A9">
      <w:pPr>
        <w:jc w:val="center"/>
        <w:rPr>
          <w:b/>
          <w:sz w:val="32"/>
          <w:szCs w:val="32"/>
        </w:rPr>
      </w:pPr>
    </w:p>
    <w:p w:rsidR="0080215F" w:rsidRDefault="0080215F" w:rsidP="00D934A9">
      <w:pPr>
        <w:jc w:val="center"/>
        <w:rPr>
          <w:b/>
          <w:sz w:val="32"/>
          <w:szCs w:val="32"/>
        </w:rPr>
      </w:pPr>
    </w:p>
    <w:p w:rsidR="0080215F" w:rsidRDefault="0080215F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CD33EA" w:rsidRDefault="00CD33EA" w:rsidP="00D934A9">
      <w:pPr>
        <w:jc w:val="center"/>
        <w:rPr>
          <w:b/>
          <w:sz w:val="32"/>
          <w:szCs w:val="32"/>
        </w:rPr>
      </w:pPr>
    </w:p>
    <w:p w:rsidR="00D934A9" w:rsidRPr="00F61A3C" w:rsidRDefault="00D934A9" w:rsidP="00D934A9">
      <w:pPr>
        <w:jc w:val="center"/>
        <w:rPr>
          <w:b/>
          <w:sz w:val="32"/>
          <w:szCs w:val="32"/>
        </w:rPr>
      </w:pPr>
      <w:r w:rsidRPr="00F61A3C">
        <w:rPr>
          <w:b/>
          <w:sz w:val="32"/>
          <w:szCs w:val="32"/>
        </w:rPr>
        <w:t>Условия Договора на Строительство</w:t>
      </w:r>
    </w:p>
    <w:p w:rsidR="00D934A9" w:rsidRPr="00F61A3C" w:rsidRDefault="00D934A9" w:rsidP="00D934A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61A3C">
        <w:rPr>
          <w:b/>
          <w:sz w:val="32"/>
          <w:szCs w:val="32"/>
        </w:rPr>
        <w:t>СТРОИТЕЛЬСТВО И ИНЖЕНЕРНЫЕ РАБОТЫ</w:t>
      </w:r>
    </w:p>
    <w:p w:rsidR="00D934A9" w:rsidRPr="00F61A3C" w:rsidRDefault="00D934A9" w:rsidP="00D934A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61A3C">
        <w:rPr>
          <w:b/>
          <w:sz w:val="32"/>
          <w:szCs w:val="32"/>
        </w:rPr>
        <w:t>РАЗРАБОТАННЫЕ ЗАКАЗЧИКОМ</w:t>
      </w:r>
    </w:p>
    <w:p w:rsidR="00D934A9" w:rsidRPr="00B5341E" w:rsidRDefault="00D934A9" w:rsidP="00D934A9">
      <w:pPr>
        <w:rPr>
          <w:sz w:val="32"/>
          <w:szCs w:val="32"/>
        </w:rPr>
      </w:pPr>
    </w:p>
    <w:p w:rsidR="00D934A9" w:rsidRPr="00B5341E" w:rsidRDefault="00D934A9" w:rsidP="003B0F2A">
      <w:pPr>
        <w:spacing w:line="240" w:lineRule="auto"/>
        <w:contextualSpacing/>
        <w:jc w:val="center"/>
        <w:rPr>
          <w:sz w:val="32"/>
          <w:szCs w:val="32"/>
        </w:rPr>
      </w:pPr>
      <w:r w:rsidRPr="00B5341E">
        <w:rPr>
          <w:sz w:val="32"/>
          <w:szCs w:val="32"/>
        </w:rPr>
        <w:t>Издание</w:t>
      </w:r>
      <w:r w:rsidR="009E6FAE">
        <w:rPr>
          <w:sz w:val="32"/>
          <w:szCs w:val="32"/>
        </w:rPr>
        <w:t>,</w:t>
      </w:r>
      <w:r w:rsidRPr="00B5341E">
        <w:rPr>
          <w:sz w:val="32"/>
          <w:szCs w:val="32"/>
        </w:rPr>
        <w:t xml:space="preserve"> согласованное с Банком Многостороннего Развития (</w:t>
      </w:r>
      <w:r w:rsidRPr="00B5341E">
        <w:rPr>
          <w:sz w:val="32"/>
          <w:szCs w:val="32"/>
          <w:lang w:val="en-US"/>
        </w:rPr>
        <w:t>MDB</w:t>
      </w:r>
      <w:r w:rsidRPr="00B5341E">
        <w:rPr>
          <w:sz w:val="32"/>
          <w:szCs w:val="32"/>
        </w:rPr>
        <w:t>)</w:t>
      </w:r>
    </w:p>
    <w:p w:rsidR="00D934A9" w:rsidRPr="00B5341E" w:rsidRDefault="00D934A9" w:rsidP="003B0F2A">
      <w:pPr>
        <w:spacing w:line="240" w:lineRule="auto"/>
        <w:contextualSpacing/>
        <w:jc w:val="center"/>
        <w:rPr>
          <w:sz w:val="32"/>
          <w:szCs w:val="32"/>
        </w:rPr>
      </w:pPr>
      <w:r w:rsidRPr="00B5341E">
        <w:rPr>
          <w:sz w:val="32"/>
          <w:szCs w:val="32"/>
        </w:rPr>
        <w:t>Июнь 2010г.</w:t>
      </w:r>
    </w:p>
    <w:p w:rsidR="00D934A9" w:rsidRPr="00B5341E" w:rsidRDefault="00D934A9" w:rsidP="00D934A9">
      <w:pPr>
        <w:rPr>
          <w:sz w:val="32"/>
          <w:szCs w:val="32"/>
        </w:rPr>
      </w:pPr>
    </w:p>
    <w:p w:rsidR="00D934A9" w:rsidRPr="00CD33EA" w:rsidRDefault="00D934A9" w:rsidP="00CD33EA">
      <w:pPr>
        <w:jc w:val="center"/>
        <w:rPr>
          <w:sz w:val="96"/>
          <w:szCs w:val="96"/>
        </w:rPr>
      </w:pPr>
      <w:r w:rsidRPr="00CD33EA">
        <w:rPr>
          <w:sz w:val="96"/>
          <w:szCs w:val="96"/>
        </w:rPr>
        <w:t>Общие Условия</w:t>
      </w:r>
    </w:p>
    <w:p w:rsidR="00CD33EA" w:rsidRDefault="00CD33EA" w:rsidP="00D934A9">
      <w:pPr>
        <w:jc w:val="both"/>
      </w:pPr>
    </w:p>
    <w:p w:rsidR="00D934A9" w:rsidRDefault="00D934A9" w:rsidP="00D934A9">
      <w:pPr>
        <w:jc w:val="both"/>
      </w:pPr>
      <w:r>
        <w:t xml:space="preserve">Данное Издание предназначается для исключительного пользования по условиям Лицензионного Соглашения заключенного между Участвующим Банком и ФИДИК, и соответственно, размножение, перевод, адаптация, сохранение в общедоступных системах или распространение, в любом виде и любыми способами, какой-либо части данного издания, также механическое, электронное, магнитное, ксерокопирование, запись или другие действия без предварительного письменного согласования с ФИДИК запрещается.  Для получения разрешения на осуществление вышеуказанных действий, следует обращаться по адресу: ФИДИК, Почтовый Ящик 311, </w:t>
      </w:r>
      <w:r>
        <w:rPr>
          <w:lang w:val="en-US"/>
        </w:rPr>
        <w:t>CH</w:t>
      </w:r>
      <w:r>
        <w:t>-1215</w:t>
      </w:r>
      <w:r w:rsidRPr="00E70A30">
        <w:t xml:space="preserve">, </w:t>
      </w:r>
      <w:r>
        <w:t xml:space="preserve">Женева 15, Швейцария; Тел.: +41 22 799 49 00; Факс: +41 22 799 49 01; Электронная почта: </w:t>
      </w:r>
      <w:r>
        <w:rPr>
          <w:lang w:val="en-US"/>
        </w:rPr>
        <w:t>fidic</w:t>
      </w:r>
      <w:r w:rsidRPr="00B5341E">
        <w:t>@</w:t>
      </w:r>
      <w:r>
        <w:rPr>
          <w:lang w:val="en-US"/>
        </w:rPr>
        <w:t>fidic</w:t>
      </w:r>
      <w:r w:rsidRPr="00B5341E">
        <w:t>.</w:t>
      </w:r>
      <w:r>
        <w:rPr>
          <w:lang w:val="en-US"/>
        </w:rPr>
        <w:t>org</w:t>
      </w:r>
      <w:r w:rsidRPr="00B5341E">
        <w:t xml:space="preserve"> . </w:t>
      </w:r>
      <w:r w:rsidR="00965B92">
        <w:t xml:space="preserve">Если явно не указывается иначе, </w:t>
      </w:r>
      <w:r>
        <w:t>ФИДИК не несет ответственности за точность или завершенность перевода данного издания.</w:t>
      </w:r>
    </w:p>
    <w:p w:rsidR="00D934A9" w:rsidRDefault="00D934A9" w:rsidP="00D934A9"/>
    <w:p w:rsidR="00CD33EA" w:rsidRDefault="00CD33EA" w:rsidP="00D934A9"/>
    <w:p w:rsidR="00CD33EA" w:rsidRDefault="00CD33EA" w:rsidP="00D934A9"/>
    <w:p w:rsidR="00D934A9" w:rsidRDefault="00D934A9" w:rsidP="00D934A9">
      <w:r>
        <w:t>МЕЖДУНАРОДНАЯ ФЕДЕРАЦИЯ ИНЖЕНЕРОВ КОНСУЛЬТАНТОВ / ЛОГОТИП ФИДИК/</w:t>
      </w:r>
    </w:p>
    <w:p w:rsidR="00D934A9" w:rsidRPr="00731A32" w:rsidRDefault="00D934A9" w:rsidP="00731A32">
      <w:pPr>
        <w:spacing w:line="240" w:lineRule="atLeast"/>
        <w:contextualSpacing/>
        <w:jc w:val="center"/>
        <w:rPr>
          <w:rFonts w:cstheme="minorHAnsi"/>
          <w:b/>
          <w:sz w:val="16"/>
          <w:szCs w:val="16"/>
        </w:rPr>
      </w:pPr>
      <w:r w:rsidRPr="00731A32">
        <w:rPr>
          <w:rFonts w:cstheme="minorHAnsi"/>
          <w:b/>
          <w:sz w:val="16"/>
          <w:szCs w:val="16"/>
        </w:rPr>
        <w:lastRenderedPageBreak/>
        <w:t>ОБЩИЕ УСЛОВИЯ ДОГОВОРА</w:t>
      </w:r>
    </w:p>
    <w:p w:rsidR="00D934A9" w:rsidRPr="00731A32" w:rsidRDefault="00D934A9" w:rsidP="00731A32">
      <w:pPr>
        <w:spacing w:line="240" w:lineRule="atLeast"/>
        <w:contextualSpacing/>
        <w:jc w:val="center"/>
        <w:rPr>
          <w:rFonts w:cstheme="minorHAnsi"/>
          <w:b/>
          <w:sz w:val="16"/>
          <w:szCs w:val="16"/>
        </w:rPr>
      </w:pPr>
      <w:r w:rsidRPr="00731A32">
        <w:rPr>
          <w:rFonts w:cstheme="minorHAnsi"/>
          <w:b/>
          <w:sz w:val="16"/>
          <w:szCs w:val="16"/>
        </w:rPr>
        <w:t>СОДЕРЖАНИЕ</w:t>
      </w:r>
    </w:p>
    <w:p w:rsidR="00D934A9" w:rsidRPr="00731A32" w:rsidRDefault="00D934A9" w:rsidP="00731A32">
      <w:pPr>
        <w:spacing w:line="240" w:lineRule="atLeast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ОПРЕДЕЛЕНИЯ РАСПОЛОЖЕНЫ В АЛВАФИТНОМ ПОРЯДКЕ</w:t>
      </w:r>
    </w:p>
    <w:p w:rsidR="00D934A9" w:rsidRPr="00731A32" w:rsidRDefault="00D934A9" w:rsidP="00731A32">
      <w:pPr>
        <w:pStyle w:val="a4"/>
        <w:numPr>
          <w:ilvl w:val="0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ОБЩИЕ ПОЛОЖЕНИЯ…………………………………………………………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……………………………………..</w:t>
      </w:r>
      <w:r w:rsidRPr="00731A32">
        <w:rPr>
          <w:rFonts w:cstheme="minorHAnsi"/>
          <w:sz w:val="16"/>
          <w:szCs w:val="16"/>
        </w:rPr>
        <w:t>………………………………………………….1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Определения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Интерпретация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Сообщения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Законодательство и Язык Общения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Приоритетность  Документации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Порядок заключения и вступления в силу договора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Уступка Прав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Хранение и Предоставление Документации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Задержка в предоставлении документации или даче указаний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Использование Заказчиком Документации Подрядчика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Использование Подрядчиком Документации Заказчика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Конфиденциальные Данные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Соблюдение применимого права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Солидарная и Многосторонняя Ответственность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Инспекции и Аудит со стороны Банка</w:t>
      </w:r>
    </w:p>
    <w:p w:rsidR="00D934A9" w:rsidRPr="00731A32" w:rsidRDefault="00D934A9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D934A9" w:rsidRPr="00731A32" w:rsidRDefault="00D934A9" w:rsidP="00731A32">
      <w:pPr>
        <w:pStyle w:val="a4"/>
        <w:numPr>
          <w:ilvl w:val="0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ЗАКАЗЧИК…………………………………………………………………………………………………………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</w:t>
      </w:r>
      <w:r w:rsidRPr="00731A32">
        <w:rPr>
          <w:rFonts w:cstheme="minorHAnsi"/>
          <w:sz w:val="16"/>
          <w:szCs w:val="16"/>
        </w:rPr>
        <w:t>…………………9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 Право доступа на строительную площадку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Разрешения, лицензии или согласования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Персонал Заказчика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Финансовые обязательства Заказчика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Претензии Заказчика</w:t>
      </w:r>
    </w:p>
    <w:p w:rsidR="00D934A9" w:rsidRPr="00731A32" w:rsidRDefault="00D934A9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D934A9" w:rsidRPr="00731A32" w:rsidRDefault="00D934A9" w:rsidP="00731A32">
      <w:pPr>
        <w:pStyle w:val="a4"/>
        <w:numPr>
          <w:ilvl w:val="0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ИНЖЕНЕР…………………………………………………………………………………………………………………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</w:t>
      </w:r>
      <w:r w:rsidRPr="00731A32">
        <w:rPr>
          <w:rFonts w:cstheme="minorHAnsi"/>
          <w:sz w:val="16"/>
          <w:szCs w:val="16"/>
        </w:rPr>
        <w:t>………….11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Обязанности и полномочия инженера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Делегирование полномочий инженера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Указания инженера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Замещение инженера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Принятие решений</w:t>
      </w:r>
    </w:p>
    <w:p w:rsidR="00D934A9" w:rsidRPr="00731A32" w:rsidRDefault="00D934A9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D934A9" w:rsidRPr="00731A32" w:rsidRDefault="00D934A9" w:rsidP="00731A32">
      <w:pPr>
        <w:pStyle w:val="a4"/>
        <w:numPr>
          <w:ilvl w:val="0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ПОДРЯДЧИК……………………………………………………………………………………………………………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</w:t>
      </w:r>
      <w:r w:rsidRPr="00731A32">
        <w:rPr>
          <w:rFonts w:cstheme="minorHAnsi"/>
          <w:sz w:val="16"/>
          <w:szCs w:val="16"/>
        </w:rPr>
        <w:t>…………13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Общие обязанности подрядчика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Обеспечение выполнения работ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Представитель Подрядчика 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Субподрядчики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Уступка прав требования по договору субподряда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Совместная работа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Разметка объектов на строительной площадке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Техника Безопасности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Обеспечение качества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Данные о строительной площадке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Достаточность Цены Договора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Непредвиденные геологические условия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Права на проезд и вспомогательные средства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Избежание вмешательств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Подъездные пути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Доставка товаров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Оборудование Подрядчика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Охрана окружающей среды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Энергообеспечение, Водоснабжение и Газоснабжение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Оборудование и материалы, предоставляемые заказчиком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Отчеты о ходе выполнения работ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Охрана строительной площадке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Действия подрядчика на строительной площадке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Ископаемые</w:t>
      </w:r>
    </w:p>
    <w:p w:rsidR="00D934A9" w:rsidRPr="00731A32" w:rsidRDefault="00D934A9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D934A9" w:rsidRPr="00731A32" w:rsidRDefault="00D934A9" w:rsidP="00731A32">
      <w:pPr>
        <w:pStyle w:val="a4"/>
        <w:numPr>
          <w:ilvl w:val="0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НАЗНАЧЕННЫЕ СУБПОДРЯДЧИКИ………………………………………………………………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……………………………………..</w:t>
      </w:r>
      <w:r w:rsidRPr="00731A32">
        <w:rPr>
          <w:rFonts w:cstheme="minorHAnsi"/>
          <w:sz w:val="16"/>
          <w:szCs w:val="16"/>
        </w:rPr>
        <w:t>………………………..22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Определение «Назначенные субподрядчики»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Возражение против назначения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Оплата назначенному субподрядчику</w:t>
      </w:r>
    </w:p>
    <w:p w:rsidR="00D934A9" w:rsidRPr="00731A32" w:rsidRDefault="00D934A9" w:rsidP="00731A32">
      <w:pPr>
        <w:pStyle w:val="a4"/>
        <w:numPr>
          <w:ilvl w:val="1"/>
          <w:numId w:val="1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Свидетельства получения платежа </w:t>
      </w:r>
    </w:p>
    <w:p w:rsidR="00282080" w:rsidRPr="00731A32" w:rsidRDefault="00282080" w:rsidP="00731A32">
      <w:pPr>
        <w:spacing w:line="240" w:lineRule="atLeast"/>
        <w:ind w:left="360"/>
        <w:contextualSpacing/>
        <w:rPr>
          <w:rFonts w:cstheme="minorHAnsi"/>
          <w:caps/>
          <w:sz w:val="16"/>
          <w:szCs w:val="16"/>
        </w:rPr>
      </w:pPr>
      <w:r w:rsidRPr="00731A32">
        <w:rPr>
          <w:rFonts w:cstheme="minorHAnsi"/>
          <w:caps/>
          <w:sz w:val="16"/>
          <w:szCs w:val="16"/>
        </w:rPr>
        <w:t>6.</w:t>
      </w:r>
      <w:r w:rsidRPr="00731A32">
        <w:rPr>
          <w:rFonts w:cstheme="minorHAnsi"/>
          <w:caps/>
          <w:sz w:val="16"/>
          <w:szCs w:val="16"/>
          <w:lang w:val="tr-TR"/>
        </w:rPr>
        <w:t>Персонал и рабочая сила</w:t>
      </w:r>
      <w:r w:rsidR="0035053C" w:rsidRPr="00731A32">
        <w:rPr>
          <w:rFonts w:cstheme="minorHAnsi"/>
          <w:caps/>
          <w:sz w:val="16"/>
          <w:szCs w:val="16"/>
          <w:lang w:val="tr-TR"/>
        </w:rPr>
        <w:t>…………………………………………………………………………………………</w:t>
      </w:r>
      <w:r w:rsidR="0035053C" w:rsidRPr="00731A32">
        <w:rPr>
          <w:rFonts w:cstheme="minorHAnsi"/>
          <w:caps/>
          <w:sz w:val="16"/>
          <w:szCs w:val="16"/>
        </w:rPr>
        <w:t>……………………</w:t>
      </w:r>
      <w:r w:rsidR="00731A32">
        <w:rPr>
          <w:rFonts w:cstheme="minorHAnsi"/>
          <w:caps/>
          <w:sz w:val="16"/>
          <w:szCs w:val="16"/>
        </w:rPr>
        <w:t>.</w:t>
      </w:r>
      <w:r w:rsidR="0035053C" w:rsidRPr="00731A32">
        <w:rPr>
          <w:rFonts w:cstheme="minorHAnsi"/>
          <w:caps/>
          <w:sz w:val="16"/>
          <w:szCs w:val="16"/>
        </w:rPr>
        <w:t>…………………………</w:t>
      </w:r>
      <w:r w:rsidR="0035053C" w:rsidRPr="00731A32">
        <w:rPr>
          <w:rFonts w:cstheme="minorHAnsi"/>
          <w:caps/>
          <w:sz w:val="16"/>
          <w:szCs w:val="16"/>
          <w:lang w:val="tr-TR"/>
        </w:rPr>
        <w:t>2</w:t>
      </w:r>
      <w:r w:rsidR="0035053C" w:rsidRPr="00731A32">
        <w:rPr>
          <w:rFonts w:cstheme="minorHAnsi"/>
          <w:caps/>
          <w:sz w:val="16"/>
          <w:szCs w:val="16"/>
        </w:rPr>
        <w:t>4</w:t>
      </w:r>
    </w:p>
    <w:p w:rsidR="00282080" w:rsidRPr="00731A32" w:rsidRDefault="00282080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caps/>
          <w:sz w:val="16"/>
          <w:szCs w:val="16"/>
        </w:rPr>
        <w:t>6.1.</w:t>
      </w:r>
      <w:r w:rsidRPr="00731A32">
        <w:rPr>
          <w:rFonts w:cstheme="minorHAnsi"/>
          <w:sz w:val="16"/>
          <w:szCs w:val="16"/>
        </w:rPr>
        <w:t>Привлечение персонала и рабочей силы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caps/>
          <w:sz w:val="16"/>
          <w:szCs w:val="16"/>
        </w:rPr>
        <w:t>6.2.</w:t>
      </w:r>
      <w:r w:rsidRPr="00731A32">
        <w:rPr>
          <w:rFonts w:cstheme="minorHAnsi"/>
          <w:sz w:val="16"/>
          <w:szCs w:val="16"/>
        </w:rPr>
        <w:t>Ставки заработной платы и условия труда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6.3.Работники заказчика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6.4. Трудовое законодательство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6.5.Рабочее время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6.6 Помещения для персонала и рабочей силы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6.7. Охрана труда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6.8. Руководство производством работ со стороны подрядчика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6.9 Работники подрядчика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6.10 </w:t>
      </w:r>
      <w:r w:rsidRPr="00731A32">
        <w:rPr>
          <w:rFonts w:cstheme="minorHAnsi"/>
          <w:sz w:val="16"/>
          <w:szCs w:val="16"/>
        </w:rPr>
        <w:tab/>
        <w:t>Учет работников и строительного оборудования подрядчика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6.11.</w:t>
      </w:r>
      <w:r w:rsidRPr="00731A32">
        <w:rPr>
          <w:rFonts w:cstheme="minorHAnsi"/>
          <w:sz w:val="16"/>
          <w:szCs w:val="16"/>
        </w:rPr>
        <w:tab/>
        <w:t>Нарушение общественного порядка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6.12. Иностранный персонал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6.13. Доставка питания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6.14. Доставка воды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6.15. Меры против насекомых и паразитов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6.16. Спиртные напитки и наркотические вещества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6.17. Оружие и Боеприпасы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6.18. Праздничные дни и религиозные традиции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6.19. Похоронные мероприятия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6.20. Принудительный труд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6.21. Детский труд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6.22. Ведение табеля рабочего времени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6.23. Профессиональные Союзы</w:t>
      </w:r>
    </w:p>
    <w:p w:rsidR="00282080" w:rsidRPr="00731A32" w:rsidRDefault="00282080" w:rsidP="00731A32">
      <w:pPr>
        <w:spacing w:line="240" w:lineRule="atLeast"/>
        <w:ind w:left="357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6.24. Отсутствие дискриминации и равные возможности</w:t>
      </w:r>
    </w:p>
    <w:p w:rsidR="00282080" w:rsidRPr="00731A32" w:rsidRDefault="00282080" w:rsidP="00731A32">
      <w:pPr>
        <w:pStyle w:val="a4"/>
        <w:numPr>
          <w:ilvl w:val="0"/>
          <w:numId w:val="2"/>
        </w:numPr>
        <w:spacing w:line="240" w:lineRule="atLeast"/>
        <w:rPr>
          <w:rFonts w:cstheme="minorHAnsi"/>
          <w:caps/>
          <w:sz w:val="16"/>
          <w:szCs w:val="16"/>
        </w:rPr>
      </w:pPr>
      <w:r w:rsidRPr="00731A32">
        <w:rPr>
          <w:rFonts w:cstheme="minorHAnsi"/>
          <w:caps/>
          <w:sz w:val="16"/>
          <w:szCs w:val="16"/>
        </w:rPr>
        <w:t>Оборудование, материалы и качество работ</w:t>
      </w:r>
      <w:r w:rsidR="0035053C" w:rsidRPr="00731A32">
        <w:rPr>
          <w:rFonts w:cstheme="minorHAnsi"/>
          <w:caps/>
          <w:sz w:val="16"/>
          <w:szCs w:val="16"/>
        </w:rPr>
        <w:t>……………………………………</w:t>
      </w:r>
      <w:r w:rsidR="00731A32">
        <w:rPr>
          <w:rFonts w:cstheme="minorHAnsi"/>
          <w:caps/>
          <w:sz w:val="16"/>
          <w:szCs w:val="16"/>
        </w:rPr>
        <w:t>…………………………..</w:t>
      </w:r>
      <w:r w:rsidR="0035053C" w:rsidRPr="00731A32">
        <w:rPr>
          <w:rFonts w:cstheme="minorHAnsi"/>
          <w:caps/>
          <w:sz w:val="16"/>
          <w:szCs w:val="16"/>
        </w:rPr>
        <w:t>……………………………28</w:t>
      </w:r>
    </w:p>
    <w:p w:rsidR="00282080" w:rsidRPr="00731A32" w:rsidRDefault="006B218E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Метод выполнения работ</w:t>
      </w:r>
    </w:p>
    <w:p w:rsidR="006B218E" w:rsidRPr="00731A32" w:rsidRDefault="006B218E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Образцы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Осмотр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Испытания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Отказ</w:t>
      </w:r>
    </w:p>
    <w:p w:rsidR="006B218E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Устранение недостатков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Право собственности на оборудование и материалы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Роялти</w:t>
      </w:r>
    </w:p>
    <w:p w:rsidR="003D6C1A" w:rsidRPr="00731A32" w:rsidRDefault="003D6C1A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FE3720" w:rsidRPr="00731A32" w:rsidRDefault="00FE3720" w:rsidP="00731A32">
      <w:pPr>
        <w:pStyle w:val="a4"/>
        <w:numPr>
          <w:ilvl w:val="0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НАЧАЛО, ЗАДЕРЖКИ И ПРИОСТАНОВКА РАБОТ</w:t>
      </w:r>
      <w:r w:rsidR="0035053C" w:rsidRPr="00731A32">
        <w:rPr>
          <w:rFonts w:cstheme="minorHAnsi"/>
          <w:sz w:val="16"/>
          <w:szCs w:val="16"/>
        </w:rPr>
        <w:t>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……………………………….</w:t>
      </w:r>
      <w:r w:rsidR="0035053C" w:rsidRPr="00731A32">
        <w:rPr>
          <w:rFonts w:cstheme="minorHAnsi"/>
          <w:sz w:val="16"/>
          <w:szCs w:val="16"/>
        </w:rPr>
        <w:t>………………………………30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Начало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Срок завершения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Календарный план выполнения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Продление срока завершения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Задержки, вызванные государственными органами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Ход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Ответственность за несоблюдение срока завершения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Приостановка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Последствия приостановки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Плата за оборудование и материалы в случае приостановки работ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Длительная приостановка</w:t>
      </w:r>
    </w:p>
    <w:p w:rsidR="00FE3720" w:rsidRPr="00731A32" w:rsidRDefault="00FE3720" w:rsidP="00731A32">
      <w:pPr>
        <w:pStyle w:val="a4"/>
        <w:numPr>
          <w:ilvl w:val="1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Возобновление работ</w:t>
      </w:r>
    </w:p>
    <w:p w:rsidR="003D6C1A" w:rsidRPr="00731A32" w:rsidRDefault="003D6C1A" w:rsidP="00731A32">
      <w:pPr>
        <w:pStyle w:val="a4"/>
        <w:spacing w:line="240" w:lineRule="atLeast"/>
        <w:rPr>
          <w:rFonts w:cstheme="minorHAnsi"/>
          <w:sz w:val="16"/>
          <w:szCs w:val="16"/>
        </w:rPr>
      </w:pPr>
    </w:p>
    <w:p w:rsidR="00FE3720" w:rsidRPr="00731A32" w:rsidRDefault="00FE3720" w:rsidP="00731A32">
      <w:pPr>
        <w:pStyle w:val="a4"/>
        <w:numPr>
          <w:ilvl w:val="0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caps/>
          <w:sz w:val="16"/>
          <w:szCs w:val="16"/>
        </w:rPr>
        <w:t>ИСПЫТАНИЯ ПЕРЕД ПРИЕМКОЙ</w:t>
      </w:r>
      <w:r w:rsidR="0035053C" w:rsidRPr="00731A32">
        <w:rPr>
          <w:rFonts w:cstheme="minorHAnsi"/>
          <w:caps/>
          <w:sz w:val="16"/>
          <w:szCs w:val="16"/>
        </w:rPr>
        <w:t>……………………………………………………………</w:t>
      </w:r>
      <w:r w:rsidR="00731A32">
        <w:rPr>
          <w:rFonts w:cstheme="minorHAnsi"/>
          <w:caps/>
          <w:sz w:val="16"/>
          <w:szCs w:val="16"/>
        </w:rPr>
        <w:t>……………………………………</w:t>
      </w:r>
      <w:r w:rsidR="0035053C" w:rsidRPr="00731A32">
        <w:rPr>
          <w:rFonts w:cstheme="minorHAnsi"/>
          <w:caps/>
          <w:sz w:val="16"/>
          <w:szCs w:val="16"/>
        </w:rPr>
        <w:t>……………………………34</w:t>
      </w:r>
    </w:p>
    <w:p w:rsidR="00FE3720" w:rsidRPr="00731A32" w:rsidRDefault="00FE3720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9.1 </w:t>
      </w:r>
      <w:r w:rsidR="007510B9" w:rsidRPr="00731A32">
        <w:rPr>
          <w:rFonts w:cstheme="minorHAnsi"/>
          <w:sz w:val="16"/>
          <w:szCs w:val="16"/>
        </w:rPr>
        <w:t>Обязательства подрядчика</w:t>
      </w:r>
    </w:p>
    <w:p w:rsidR="007510B9" w:rsidRPr="00731A32" w:rsidRDefault="007510B9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lastRenderedPageBreak/>
        <w:t>9.2 Задержка проведения испытаний</w:t>
      </w:r>
    </w:p>
    <w:p w:rsidR="007510B9" w:rsidRPr="00731A32" w:rsidRDefault="007510B9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9.3 Повторные испытания</w:t>
      </w:r>
    </w:p>
    <w:p w:rsidR="007510B9" w:rsidRPr="00731A32" w:rsidRDefault="007510B9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9.4 Неудачный результат испытаний перед приемкой</w:t>
      </w:r>
    </w:p>
    <w:p w:rsidR="007510B9" w:rsidRPr="00731A32" w:rsidRDefault="007510B9" w:rsidP="00731A32">
      <w:pPr>
        <w:pStyle w:val="a4"/>
        <w:numPr>
          <w:ilvl w:val="0"/>
          <w:numId w:val="2"/>
        </w:numPr>
        <w:spacing w:line="240" w:lineRule="atLeast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ПРИЕМКА ОБЪЕКТА ЗАКАЗЧИКОМ</w:t>
      </w:r>
      <w:r w:rsidR="0035053C" w:rsidRPr="00731A32">
        <w:rPr>
          <w:rFonts w:cstheme="minorHAnsi"/>
          <w:sz w:val="16"/>
          <w:szCs w:val="16"/>
        </w:rPr>
        <w:t>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</w:t>
      </w:r>
      <w:r w:rsidR="0035053C" w:rsidRPr="00731A32">
        <w:rPr>
          <w:rFonts w:cstheme="minorHAnsi"/>
          <w:sz w:val="16"/>
          <w:szCs w:val="16"/>
        </w:rPr>
        <w:t>……………………………..35</w:t>
      </w:r>
    </w:p>
    <w:p w:rsidR="00D934A9" w:rsidRPr="00731A32" w:rsidRDefault="007510B9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10.1  Приемка объекта и его частей</w:t>
      </w:r>
    </w:p>
    <w:p w:rsidR="007510B9" w:rsidRPr="00731A32" w:rsidRDefault="007510B9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10.2 </w:t>
      </w:r>
      <w:r w:rsidR="00104114" w:rsidRPr="00731A32">
        <w:rPr>
          <w:rFonts w:cstheme="minorHAnsi"/>
          <w:sz w:val="16"/>
          <w:szCs w:val="16"/>
        </w:rPr>
        <w:t>Приемка части объекта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10.3 Препятствия проведению испытаний перед приемкой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10.4 Поверхности, требующие восстановления</w:t>
      </w:r>
    </w:p>
    <w:p w:rsidR="0035053C" w:rsidRPr="00731A32" w:rsidRDefault="0035053C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 ОТВЕТСТВЕННОСТЬ ЗА НЕДОСТАТКИ</w:t>
      </w:r>
      <w:r w:rsidR="0035053C" w:rsidRPr="00731A32">
        <w:rPr>
          <w:rFonts w:cstheme="minorHAnsi"/>
          <w:sz w:val="16"/>
          <w:szCs w:val="16"/>
        </w:rPr>
        <w:t>……………</w:t>
      </w:r>
      <w:r w:rsidR="003D6C1A" w:rsidRPr="00731A32">
        <w:rPr>
          <w:rFonts w:cstheme="minorHAnsi"/>
          <w:sz w:val="16"/>
          <w:szCs w:val="16"/>
        </w:rPr>
        <w:t>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………………………………………..</w:t>
      </w:r>
      <w:r w:rsidR="003D6C1A" w:rsidRPr="00731A32">
        <w:rPr>
          <w:rFonts w:cstheme="minorHAnsi"/>
          <w:sz w:val="16"/>
          <w:szCs w:val="16"/>
        </w:rPr>
        <w:t>…………………………37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11.1 Завершение незаконченных работ и устранение недостатков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11.2 Расходы по устранению недостатков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11.3 Продление гарантийного срока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11.4 Ненадлежащее качество работы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11.5 Удаление результатов работ ненадлежащего качества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11.6 Дальнейшие испытания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11.7 Право доступа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11.8 Выяснение причин недостатков подрядчиком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11.9 Свидетельство о выполнении договора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11.10 Неисполненные обязательства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11.11 Освобождение территории строительной площадки</w:t>
      </w:r>
    </w:p>
    <w:p w:rsidR="0035053C" w:rsidRPr="00731A32" w:rsidRDefault="0035053C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12. ИЗМЕРЕНИЕ ОБЪЕМА РАБОТ И ОЦЕНКА ИХ СТОИМОСТИ</w:t>
      </w:r>
      <w:r w:rsidR="0035053C" w:rsidRPr="00731A32">
        <w:rPr>
          <w:rFonts w:cstheme="minorHAnsi"/>
          <w:sz w:val="16"/>
          <w:szCs w:val="16"/>
        </w:rPr>
        <w:t>………………………………</w:t>
      </w:r>
      <w:r w:rsidR="00731A32">
        <w:rPr>
          <w:rFonts w:cstheme="minorHAnsi"/>
          <w:sz w:val="16"/>
          <w:szCs w:val="16"/>
        </w:rPr>
        <w:t>………………………………..</w:t>
      </w:r>
      <w:r w:rsidR="0035053C" w:rsidRPr="00731A32">
        <w:rPr>
          <w:rFonts w:cstheme="minorHAnsi"/>
          <w:sz w:val="16"/>
          <w:szCs w:val="16"/>
        </w:rPr>
        <w:t>…………………………39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12.1 </w:t>
      </w:r>
      <w:r w:rsidRPr="00731A32">
        <w:rPr>
          <w:rFonts w:cstheme="minorHAnsi"/>
          <w:sz w:val="16"/>
          <w:szCs w:val="16"/>
        </w:rPr>
        <w:tab/>
        <w:t xml:space="preserve">Работы, подлежащие измерению       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12.2 Метод измерения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12.3 Оценка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12.4 Отмена работы</w:t>
      </w:r>
    </w:p>
    <w:p w:rsidR="0035053C" w:rsidRPr="00731A32" w:rsidRDefault="0035053C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 ИЗМЕНЕНИЯ И КОРРЕКТИРОВКА</w:t>
      </w:r>
      <w:r w:rsidR="0035053C" w:rsidRPr="00731A32">
        <w:rPr>
          <w:rFonts w:cstheme="minorHAnsi"/>
          <w:sz w:val="16"/>
          <w:szCs w:val="16"/>
        </w:rPr>
        <w:t>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</w:t>
      </w:r>
      <w:r w:rsidR="0035053C" w:rsidRPr="00731A32">
        <w:rPr>
          <w:rFonts w:cstheme="minorHAnsi"/>
          <w:sz w:val="16"/>
          <w:szCs w:val="16"/>
        </w:rPr>
        <w:t>………………………41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13.1 </w:t>
      </w:r>
      <w:r w:rsidRPr="00731A32">
        <w:rPr>
          <w:rFonts w:cstheme="minorHAnsi"/>
          <w:sz w:val="16"/>
          <w:szCs w:val="16"/>
        </w:rPr>
        <w:tab/>
        <w:t>Право на внесение изменений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13.2 Право на внесение предложений об изменении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13.3 Порядок внесения изменений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13.4 Применяемая для расчетов валюта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13.5 Резервные суммы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13.6 Повременная оплата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13.7 Корректировка в связи с изменениями в законодательстве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13.8 Корректировка в связи с изменениями в стоимости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 ЦЕНА ДОГОВОРА И ОПЛАТА</w:t>
      </w:r>
      <w:r w:rsidR="0035053C" w:rsidRPr="00731A32">
        <w:rPr>
          <w:rFonts w:cstheme="minorHAnsi"/>
          <w:sz w:val="16"/>
          <w:szCs w:val="16"/>
        </w:rPr>
        <w:t>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………………………………………….</w:t>
      </w:r>
      <w:r w:rsidR="0035053C" w:rsidRPr="00731A32">
        <w:rPr>
          <w:rFonts w:cstheme="minorHAnsi"/>
          <w:sz w:val="16"/>
          <w:szCs w:val="16"/>
        </w:rPr>
        <w:t>……………………45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14.1 </w:t>
      </w:r>
      <w:r w:rsidRPr="00731A32">
        <w:rPr>
          <w:rFonts w:cstheme="minorHAnsi"/>
          <w:sz w:val="16"/>
          <w:szCs w:val="16"/>
        </w:rPr>
        <w:tab/>
        <w:t>Цена договора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14.2 Авансовые платежи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14.3 Обращение за промежуточными платежами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14.4 График платежей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14.5 Оплата оборудования и материалов п</w:t>
      </w:r>
      <w:r w:rsidR="00B17EC6" w:rsidRPr="00731A32">
        <w:rPr>
          <w:rFonts w:cstheme="minorHAnsi"/>
          <w:sz w:val="16"/>
          <w:szCs w:val="16"/>
        </w:rPr>
        <w:t>редназначенных для Работ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14.6 Промежуточные платежи</w:t>
      </w:r>
    </w:p>
    <w:p w:rsidR="00104114" w:rsidRPr="00731A32" w:rsidRDefault="00104114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14.7 О</w:t>
      </w:r>
      <w:r w:rsidR="003D6C1A" w:rsidRPr="00731A32">
        <w:rPr>
          <w:rFonts w:cstheme="minorHAnsi"/>
          <w:sz w:val="16"/>
          <w:szCs w:val="16"/>
        </w:rPr>
        <w:t>плата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14.8 Задержка оплаты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14.9 Уплата суммы удержания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14.10 Финансовый отчет по завершении строительства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14.11 Заключительный финансовый отчет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14.12 Исполнение обязательств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14.13 Окончательный платеж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14.14 Прекращение ответственности заказчика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14.15 Валюты платежей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15. РАСТОРЖЕНИЕ ДОГОВОРА ЗАКАЗЧИКОМ</w:t>
      </w:r>
      <w:r w:rsidR="0035053C" w:rsidRPr="00731A32">
        <w:rPr>
          <w:rFonts w:cstheme="minorHAnsi"/>
          <w:sz w:val="16"/>
          <w:szCs w:val="16"/>
        </w:rPr>
        <w:t>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………………………………….</w:t>
      </w:r>
      <w:r w:rsidR="0035053C" w:rsidRPr="00731A32">
        <w:rPr>
          <w:rFonts w:cstheme="minorHAnsi"/>
          <w:sz w:val="16"/>
          <w:szCs w:val="16"/>
        </w:rPr>
        <w:t>……………………………..53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15.1 </w:t>
      </w:r>
      <w:r w:rsidRPr="00731A32">
        <w:rPr>
          <w:rFonts w:cstheme="minorHAnsi"/>
          <w:sz w:val="16"/>
          <w:szCs w:val="16"/>
        </w:rPr>
        <w:tab/>
        <w:t>Указание об устранении недостатков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15.2 Право Заказчика на расторжение договора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lastRenderedPageBreak/>
        <w:t>15.3 Оценка на дату расторжения договора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15.4 Оплата после расторжения договора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15.5 Право </w:t>
      </w:r>
      <w:r w:rsidR="00BE3666" w:rsidRPr="00731A32">
        <w:rPr>
          <w:rFonts w:cstheme="minorHAnsi"/>
          <w:sz w:val="16"/>
          <w:szCs w:val="16"/>
        </w:rPr>
        <w:t xml:space="preserve">заказчика </w:t>
      </w:r>
      <w:r w:rsidRPr="00731A32">
        <w:rPr>
          <w:rFonts w:cstheme="minorHAnsi"/>
          <w:sz w:val="16"/>
          <w:szCs w:val="16"/>
        </w:rPr>
        <w:t>на расторжение договора по своему усмотрению</w:t>
      </w:r>
    </w:p>
    <w:p w:rsidR="00BB2B42" w:rsidRPr="00731A32" w:rsidRDefault="00BB2B42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15.6 </w:t>
      </w:r>
      <w:r w:rsidR="00486E95" w:rsidRPr="00731A32">
        <w:rPr>
          <w:rFonts w:cstheme="minorHAnsi"/>
          <w:sz w:val="16"/>
          <w:szCs w:val="16"/>
        </w:rPr>
        <w:t>Случаи коррупции или мошенничества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16. ПРИОСТАНОВКА РАБОТ И РАСТОРЖЕНИЕ ДОГОВОРА ПОДРЯДЧИКОМ</w:t>
      </w:r>
      <w:r w:rsidR="0035053C" w:rsidRPr="00731A32">
        <w:rPr>
          <w:rFonts w:cstheme="minorHAnsi"/>
          <w:sz w:val="16"/>
          <w:szCs w:val="16"/>
        </w:rPr>
        <w:t>……………</w:t>
      </w:r>
      <w:r w:rsidR="003D6C1A" w:rsidRPr="00731A32">
        <w:rPr>
          <w:rFonts w:cstheme="minorHAnsi"/>
          <w:sz w:val="16"/>
          <w:szCs w:val="16"/>
        </w:rPr>
        <w:t>………</w:t>
      </w:r>
      <w:r w:rsidR="00731A32">
        <w:rPr>
          <w:rFonts w:cstheme="minorHAnsi"/>
          <w:sz w:val="16"/>
          <w:szCs w:val="16"/>
        </w:rPr>
        <w:t>……………………….……….</w:t>
      </w:r>
      <w:r w:rsidR="003D6C1A" w:rsidRPr="00731A32">
        <w:rPr>
          <w:rFonts w:cstheme="minorHAnsi"/>
          <w:sz w:val="16"/>
          <w:szCs w:val="16"/>
        </w:rPr>
        <w:t>………………55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16.1</w:t>
      </w:r>
      <w:r w:rsidRPr="00731A32">
        <w:rPr>
          <w:rFonts w:cstheme="minorHAnsi"/>
          <w:sz w:val="16"/>
          <w:szCs w:val="16"/>
        </w:rPr>
        <w:tab/>
        <w:t>Право подрядчика приостановить выполнение работ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16.2 Расторжение договора подрядчиком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16.3 Прекращение работ и удаление строительного оборудования подрядчика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16.4 Оплата после расторжения договора 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 РИСК И ОТВЕТСТВЕННОСТЬ</w:t>
      </w:r>
      <w:r w:rsidR="003D6C1A" w:rsidRPr="00731A32">
        <w:rPr>
          <w:rFonts w:cstheme="minorHAnsi"/>
          <w:sz w:val="16"/>
          <w:szCs w:val="16"/>
        </w:rPr>
        <w:t>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………………………………………..</w:t>
      </w:r>
      <w:r w:rsidR="003D6C1A" w:rsidRPr="00731A32">
        <w:rPr>
          <w:rFonts w:cstheme="minorHAnsi"/>
          <w:sz w:val="16"/>
          <w:szCs w:val="16"/>
        </w:rPr>
        <w:t>………….57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17.1 Гарантии Защиты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17.2 Обеспечение подрядчиком сохранности объекта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17.3 Риски заказчика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17.4 Последствия рисков заказчика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17.5 Права на интеллектуальную собственность 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17.6 Ограничение ответственности</w:t>
      </w:r>
    </w:p>
    <w:p w:rsidR="004769DE" w:rsidRPr="00731A32" w:rsidRDefault="004769DE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17.7 Использование жилья /помещений Заказчика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18.</w:t>
      </w:r>
      <w:r w:rsidRPr="00731A32">
        <w:rPr>
          <w:rFonts w:cstheme="minorHAnsi"/>
          <w:sz w:val="16"/>
          <w:szCs w:val="16"/>
        </w:rPr>
        <w:tab/>
        <w:t>СТРАХОВАНИЕ</w:t>
      </w:r>
      <w:r w:rsidR="003D6C1A" w:rsidRPr="00731A32">
        <w:rPr>
          <w:rFonts w:cstheme="minorHAnsi"/>
          <w:sz w:val="16"/>
          <w:szCs w:val="16"/>
        </w:rPr>
        <w:t>………………………………………………………………………………………………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……………………………………………….</w:t>
      </w:r>
      <w:r w:rsidR="003D6C1A" w:rsidRPr="00731A32">
        <w:rPr>
          <w:rFonts w:cstheme="minorHAnsi"/>
          <w:sz w:val="16"/>
          <w:szCs w:val="16"/>
        </w:rPr>
        <w:t>……………..60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18.1.</w:t>
      </w:r>
      <w:r w:rsidRPr="00731A32">
        <w:rPr>
          <w:rFonts w:cstheme="minorHAnsi"/>
          <w:sz w:val="16"/>
          <w:szCs w:val="16"/>
        </w:rPr>
        <w:tab/>
        <w:t>Общие требования к страхованию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18.2 Страхование объекта и строительного оборудования подрядчика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18.3 Страхование ответственности за причинение вреда физическим лицам или имуществу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18.4 Страхование работников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</w:t>
      </w:r>
      <w:r w:rsidRPr="00731A32">
        <w:rPr>
          <w:rFonts w:cstheme="minorHAnsi"/>
          <w:sz w:val="16"/>
          <w:szCs w:val="16"/>
        </w:rPr>
        <w:tab/>
        <w:t>ОБСТОЯТЕЛЬСТВА НЕПРЕОДОЛИМОЙ СИЛЫ</w:t>
      </w:r>
      <w:r w:rsidR="003D6C1A" w:rsidRPr="00731A32">
        <w:rPr>
          <w:rFonts w:cstheme="minorHAnsi"/>
          <w:sz w:val="16"/>
          <w:szCs w:val="16"/>
        </w:rPr>
        <w:t>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</w:t>
      </w:r>
      <w:r w:rsidR="003D6C1A" w:rsidRPr="00731A32">
        <w:rPr>
          <w:rFonts w:cstheme="minorHAnsi"/>
          <w:sz w:val="16"/>
          <w:szCs w:val="16"/>
        </w:rPr>
        <w:t>………………………….…63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19.1.</w:t>
      </w:r>
      <w:r w:rsidRPr="00731A32">
        <w:rPr>
          <w:rFonts w:cstheme="minorHAnsi"/>
          <w:sz w:val="16"/>
          <w:szCs w:val="16"/>
        </w:rPr>
        <w:tab/>
        <w:t>Определение обстоятельств непреодолимой силы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19.2 Уведомление о наступлении обстоятельств непреодолимой силы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19.3 Обязанность минимизировать задержку исполнения договора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19.4 Последствия обстоятельств непреодолимой силы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19.5 Влияние обстоятельств непреодолимой силы на субподрядчика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19.6 Расторжение договора по усмотрению стороны, оплата и освобождение от обязательств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19.7 Освобождение от исполнения обязательств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 РАЗРЕШЕНИЕ ПРЕТЕНЗИЙ И СПОРОВ</w:t>
      </w:r>
      <w:r w:rsidR="003D6C1A" w:rsidRPr="00731A32">
        <w:rPr>
          <w:rFonts w:cstheme="minorHAnsi"/>
          <w:sz w:val="16"/>
          <w:szCs w:val="16"/>
        </w:rPr>
        <w:t>………………………….………………………………………………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</w:t>
      </w:r>
      <w:r w:rsidR="003D6C1A" w:rsidRPr="00731A32">
        <w:rPr>
          <w:rFonts w:cstheme="minorHAnsi"/>
          <w:sz w:val="16"/>
          <w:szCs w:val="16"/>
        </w:rPr>
        <w:t>…………65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20.1.</w:t>
      </w:r>
      <w:r w:rsidRPr="00731A32">
        <w:rPr>
          <w:rFonts w:cstheme="minorHAnsi"/>
          <w:sz w:val="16"/>
          <w:szCs w:val="16"/>
        </w:rPr>
        <w:tab/>
        <w:t>Претензии подрядчика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20.2 Назначение совета по урегулированию споров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20.3 Не назначение члена совета по урегулированию споров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20.4 Решения совета по урегулированию споров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20.5 Мирное урегулирование споров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20.6 Арбитраж</w:t>
      </w:r>
    </w:p>
    <w:p w:rsidR="00C32BA7" w:rsidRPr="00731A32" w:rsidRDefault="00C32BA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20.7 Последствия истечения срока полномочий совета по урегулированию споров</w:t>
      </w:r>
    </w:p>
    <w:p w:rsidR="002271B7" w:rsidRPr="00731A32" w:rsidRDefault="002271B7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20.8 Завершение срока назначения совета по урегулированию споров</w:t>
      </w:r>
    </w:p>
    <w:p w:rsidR="003D6C1A" w:rsidRPr="00731A32" w:rsidRDefault="003D6C1A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</w:p>
    <w:p w:rsidR="00C32BA7" w:rsidRPr="00731A32" w:rsidRDefault="00C32BA7" w:rsidP="00731A32">
      <w:pPr>
        <w:spacing w:line="240" w:lineRule="atLeast"/>
        <w:ind w:left="1776" w:firstLine="348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ПРИЛОЖЕНИЕ  </w:t>
      </w:r>
      <w:r w:rsidR="003D6C1A" w:rsidRPr="00731A32">
        <w:rPr>
          <w:rFonts w:cstheme="minorHAnsi"/>
          <w:sz w:val="16"/>
          <w:szCs w:val="16"/>
        </w:rPr>
        <w:t>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</w:t>
      </w:r>
      <w:r w:rsidR="003D6C1A" w:rsidRPr="00731A32">
        <w:rPr>
          <w:rFonts w:cstheme="minorHAnsi"/>
          <w:sz w:val="16"/>
          <w:szCs w:val="16"/>
        </w:rPr>
        <w:t>……70</w:t>
      </w:r>
    </w:p>
    <w:p w:rsidR="00C32BA7" w:rsidRPr="00731A32" w:rsidRDefault="00C32BA7" w:rsidP="00731A32">
      <w:pPr>
        <w:spacing w:line="240" w:lineRule="atLeast"/>
        <w:ind w:left="1428" w:firstLine="696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Общие условия соглашения по урегулированию споров</w:t>
      </w:r>
    </w:p>
    <w:p w:rsidR="006C02C5" w:rsidRPr="00731A32" w:rsidRDefault="006C02C5" w:rsidP="00731A32">
      <w:pPr>
        <w:spacing w:line="240" w:lineRule="atLeast"/>
        <w:ind w:left="360"/>
        <w:contextualSpacing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>ИНДЕКС ПУНКТОВ</w:t>
      </w:r>
      <w:r w:rsidR="003D6C1A" w:rsidRPr="00731A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</w:t>
      </w:r>
      <w:r w:rsidR="00731A32">
        <w:rPr>
          <w:rFonts w:cstheme="minorHAnsi"/>
          <w:sz w:val="16"/>
          <w:szCs w:val="16"/>
        </w:rPr>
        <w:t>………………………………………</w:t>
      </w:r>
      <w:r w:rsidR="003D6C1A" w:rsidRPr="00731A32">
        <w:rPr>
          <w:rFonts w:cstheme="minorHAnsi"/>
          <w:sz w:val="16"/>
          <w:szCs w:val="16"/>
        </w:rPr>
        <w:t>…...77</w:t>
      </w:r>
    </w:p>
    <w:p w:rsidR="00731A32" w:rsidRDefault="00731A32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CD33EA" w:rsidRDefault="00CD33E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</w:p>
    <w:p w:rsidR="003D6C1A" w:rsidRPr="00731A32" w:rsidRDefault="003D6C1A" w:rsidP="00731A32">
      <w:pPr>
        <w:spacing w:line="240" w:lineRule="atLeast"/>
        <w:contextualSpacing/>
        <w:jc w:val="both"/>
        <w:rPr>
          <w:rFonts w:cstheme="minorHAnsi"/>
          <w:sz w:val="16"/>
          <w:szCs w:val="16"/>
        </w:rPr>
      </w:pPr>
      <w:r w:rsidRPr="00731A32">
        <w:rPr>
          <w:rFonts w:cstheme="minorHAnsi"/>
          <w:sz w:val="16"/>
          <w:szCs w:val="16"/>
        </w:rPr>
        <w:t xml:space="preserve"> РЕГУЛИРУЕМЫЙ  ДОКУМЕНТ ФИДИК-2010 Условия Договора на Строительство - Издание согласованное с Банком Многостороннего Развития (MDB)</w:t>
      </w:r>
      <w:r w:rsidR="00965B92" w:rsidRPr="00731A32">
        <w:rPr>
          <w:rFonts w:cstheme="minorHAnsi"/>
          <w:sz w:val="16"/>
          <w:szCs w:val="16"/>
        </w:rPr>
        <w:t xml:space="preserve"> Июнь 2010г.-</w:t>
      </w:r>
      <w:r w:rsidRPr="00731A32">
        <w:rPr>
          <w:rFonts w:cstheme="minorHAnsi"/>
          <w:sz w:val="16"/>
          <w:szCs w:val="16"/>
        </w:rPr>
        <w:t xml:space="preserve"> </w:t>
      </w:r>
      <w:r w:rsidR="00965B92" w:rsidRPr="00731A32">
        <w:rPr>
          <w:rFonts w:cstheme="minorHAnsi"/>
          <w:sz w:val="16"/>
          <w:szCs w:val="16"/>
        </w:rPr>
        <w:t xml:space="preserve">Общие Условия. Только для пользования участвующего в  финансировании Договора Банка Развития. Копирование данного документа воспрещается. </w:t>
      </w:r>
    </w:p>
    <w:sectPr w:rsidR="003D6C1A" w:rsidRPr="00731A32" w:rsidSect="00CD33EA">
      <w:footerReference w:type="default" r:id="rId8"/>
      <w:pgSz w:w="11906" w:h="16838"/>
      <w:pgMar w:top="1134" w:right="850" w:bottom="1134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84" w:rsidRDefault="00580084" w:rsidP="00CD33EA">
      <w:pPr>
        <w:spacing w:after="0" w:line="240" w:lineRule="auto"/>
      </w:pPr>
      <w:r>
        <w:separator/>
      </w:r>
    </w:p>
  </w:endnote>
  <w:endnote w:type="continuationSeparator" w:id="0">
    <w:p w:rsidR="00580084" w:rsidRDefault="00580084" w:rsidP="00CD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281846"/>
      <w:docPartObj>
        <w:docPartGallery w:val="Page Numbers (Bottom of Page)"/>
        <w:docPartUnique/>
      </w:docPartObj>
    </w:sdtPr>
    <w:sdtEndPr/>
    <w:sdtContent>
      <w:p w:rsidR="00CD33EA" w:rsidRDefault="00CD33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98">
          <w:rPr>
            <w:noProof/>
          </w:rPr>
          <w:t>v</w:t>
        </w:r>
        <w:r>
          <w:fldChar w:fldCharType="end"/>
        </w:r>
      </w:p>
    </w:sdtContent>
  </w:sdt>
  <w:p w:rsidR="00CD33EA" w:rsidRDefault="00CD3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84" w:rsidRDefault="00580084" w:rsidP="00CD33EA">
      <w:pPr>
        <w:spacing w:after="0" w:line="240" w:lineRule="auto"/>
      </w:pPr>
      <w:r>
        <w:separator/>
      </w:r>
    </w:p>
  </w:footnote>
  <w:footnote w:type="continuationSeparator" w:id="0">
    <w:p w:rsidR="00580084" w:rsidRDefault="00580084" w:rsidP="00CD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6AA8"/>
    <w:multiLevelType w:val="multilevel"/>
    <w:tmpl w:val="B02C2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5390897"/>
    <w:multiLevelType w:val="multilevel"/>
    <w:tmpl w:val="64EAC2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8C"/>
    <w:rsid w:val="00104114"/>
    <w:rsid w:val="002271B7"/>
    <w:rsid w:val="00282080"/>
    <w:rsid w:val="00290798"/>
    <w:rsid w:val="00322663"/>
    <w:rsid w:val="0035053C"/>
    <w:rsid w:val="003B0F2A"/>
    <w:rsid w:val="003D6C1A"/>
    <w:rsid w:val="004769DE"/>
    <w:rsid w:val="00486E95"/>
    <w:rsid w:val="00580084"/>
    <w:rsid w:val="006809F4"/>
    <w:rsid w:val="00691C9A"/>
    <w:rsid w:val="006B218E"/>
    <w:rsid w:val="006C02C5"/>
    <w:rsid w:val="00731A32"/>
    <w:rsid w:val="007510B9"/>
    <w:rsid w:val="007D528C"/>
    <w:rsid w:val="0080215F"/>
    <w:rsid w:val="00965B92"/>
    <w:rsid w:val="009734E6"/>
    <w:rsid w:val="009E6FAE"/>
    <w:rsid w:val="00A75623"/>
    <w:rsid w:val="00B17EC6"/>
    <w:rsid w:val="00B53520"/>
    <w:rsid w:val="00BB2B42"/>
    <w:rsid w:val="00BE3666"/>
    <w:rsid w:val="00C32BA7"/>
    <w:rsid w:val="00CD33EA"/>
    <w:rsid w:val="00D934A9"/>
    <w:rsid w:val="00DC1063"/>
    <w:rsid w:val="00E30DE0"/>
    <w:rsid w:val="00ED7A84"/>
    <w:rsid w:val="00F016F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C9C3E-D8E1-478C-AC65-92D48D2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4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3EA"/>
  </w:style>
  <w:style w:type="paragraph" w:styleId="a7">
    <w:name w:val="footer"/>
    <w:basedOn w:val="a"/>
    <w:link w:val="a8"/>
    <w:uiPriority w:val="99"/>
    <w:unhideWhenUsed/>
    <w:rsid w:val="00C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3EA"/>
  </w:style>
  <w:style w:type="paragraph" w:styleId="a9">
    <w:name w:val="No Spacing"/>
    <w:link w:val="aa"/>
    <w:uiPriority w:val="1"/>
    <w:qFormat/>
    <w:rsid w:val="00CD33E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33E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901A6BEF0946909956D256C05D3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8D6AA-549E-4ACE-8EE6-7056FF014F26}"/>
      </w:docPartPr>
      <w:docPartBody>
        <w:p w:rsidR="00F355EA" w:rsidRDefault="00733324" w:rsidP="00733324">
          <w:pPr>
            <w:pStyle w:val="1A901A6BEF0946909956D256C05D3C2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F9A1794AEE44F33AC91394AB5C40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7DFD0-B9F0-487C-9DE5-4EEC9516CDB0}"/>
      </w:docPartPr>
      <w:docPartBody>
        <w:p w:rsidR="00F355EA" w:rsidRDefault="00733324" w:rsidP="00733324">
          <w:pPr>
            <w:pStyle w:val="AF9A1794AEE44F33AC91394AB5C40C4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3B244026DFA43F2BCB40E58C2E1A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FBF1-325B-417B-AEE2-550C6160B4D5}"/>
      </w:docPartPr>
      <w:docPartBody>
        <w:p w:rsidR="00F355EA" w:rsidRDefault="00733324" w:rsidP="00733324">
          <w:pPr>
            <w:pStyle w:val="33B244026DFA43F2BCB40E58C2E1A86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5E3D452D1A14DF99D9CE3B2EC4E3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EE218-143B-4C30-BEFC-CC36FD9A6AAA}"/>
      </w:docPartPr>
      <w:docPartBody>
        <w:p w:rsidR="00F355EA" w:rsidRDefault="00733324" w:rsidP="00733324">
          <w:pPr>
            <w:pStyle w:val="C5E3D452D1A14DF99D9CE3B2EC4E364A"/>
          </w:pPr>
          <w:r>
            <w:rPr>
              <w:color w:val="5B9BD5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4"/>
    <w:rsid w:val="00052D66"/>
    <w:rsid w:val="00396919"/>
    <w:rsid w:val="00733324"/>
    <w:rsid w:val="009E19AA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01A6BEF0946909956D256C05D3C2C">
    <w:name w:val="1A901A6BEF0946909956D256C05D3C2C"/>
    <w:rsid w:val="00733324"/>
  </w:style>
  <w:style w:type="paragraph" w:customStyle="1" w:styleId="AF9A1794AEE44F33AC91394AB5C40C41">
    <w:name w:val="AF9A1794AEE44F33AC91394AB5C40C41"/>
    <w:rsid w:val="00733324"/>
  </w:style>
  <w:style w:type="paragraph" w:customStyle="1" w:styleId="33B244026DFA43F2BCB40E58C2E1A86C">
    <w:name w:val="33B244026DFA43F2BCB40E58C2E1A86C"/>
    <w:rsid w:val="00733324"/>
  </w:style>
  <w:style w:type="paragraph" w:customStyle="1" w:styleId="C5E3D452D1A14DF99D9CE3B2EC4E364A">
    <w:name w:val="C5E3D452D1A14DF99D9CE3B2EC4E364A"/>
    <w:rsid w:val="00733324"/>
  </w:style>
  <w:style w:type="paragraph" w:customStyle="1" w:styleId="A95A4E4F1ABC40DCA63A144AAD128DE9">
    <w:name w:val="A95A4E4F1ABC40DCA63A144AAD128DE9"/>
    <w:rsid w:val="00733324"/>
  </w:style>
  <w:style w:type="paragraph" w:customStyle="1" w:styleId="F94C61D32FCA4A42B55543F976C0AF45">
    <w:name w:val="F94C61D32FCA4A42B55543F976C0AF45"/>
    <w:rsid w:val="00733324"/>
  </w:style>
  <w:style w:type="paragraph" w:customStyle="1" w:styleId="C8E07841E66D430BA008EA8BCC804508">
    <w:name w:val="C8E07841E66D430BA008EA8BCC804508"/>
    <w:rsid w:val="0073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</vt:lpstr>
    </vt:vector>
  </TitlesOfParts>
  <Company>Home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</dc:title>
  <dc:subject>МИНИСТЕРСТВО ТРАНСПОРТА И КОММУНИКАЦИЙ КЫРГЫЗСКОЙ РЕСПУБЛИКИ РЕКОНСТРУКЦИЯ АВТОДОРОГИ ТАРАЗ-ТАЛАС-СУУСАМЫР  III. ФАЗА, КМ 75-105</dc:subject>
  <dc:creator>2. Руководство Пользователя – Работы по Приобретению     Раздел X. Договорные Формы</dc:creator>
  <cp:lastModifiedBy>almazbek akunov</cp:lastModifiedBy>
  <cp:revision>2</cp:revision>
  <dcterms:created xsi:type="dcterms:W3CDTF">2018-12-06T05:44:00Z</dcterms:created>
  <dcterms:modified xsi:type="dcterms:W3CDTF">2018-12-06T05:44:00Z</dcterms:modified>
</cp:coreProperties>
</file>