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61" w:rsidRPr="007C49F7" w:rsidRDefault="005504A4" w:rsidP="00550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F7">
        <w:rPr>
          <w:rFonts w:ascii="Times New Roman" w:hAnsi="Times New Roman" w:cs="Times New Roman"/>
          <w:b/>
          <w:sz w:val="28"/>
          <w:szCs w:val="28"/>
        </w:rPr>
        <w:t>Налог на недвижимость 2019</w:t>
      </w:r>
    </w:p>
    <w:p w:rsidR="00C33AB9" w:rsidRPr="007C49F7" w:rsidRDefault="00C33AB9" w:rsidP="00C44C97">
      <w:pPr>
        <w:pStyle w:val="2"/>
        <w:jc w:val="both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Последнее время в России, как известно, проводится ряд реформ, которые захватывают много сфер жизни страны. Главным образом изменения касаются экономических аспектов, в частности, земли и налогообложения недвижимости. Новый этап  реформ дал пуск к внедрению инновационных налоговых технологий после 2015 года. Они проходили тестирование в 28 регионах Российской Федерации.</w:t>
      </w:r>
    </w:p>
    <w:p w:rsidR="00C33AB9" w:rsidRPr="007C49F7" w:rsidRDefault="00C33AB9" w:rsidP="00C44C97">
      <w:pPr>
        <w:pStyle w:val="2"/>
        <w:jc w:val="both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Суть </w:t>
      </w:r>
      <w:r w:rsidR="00823914">
        <w:rPr>
          <w:rFonts w:ascii="Times New Roman" w:eastAsiaTheme="minorEastAsia" w:hAnsi="Times New Roman" w:cs="Times New Roman"/>
          <w:b w:val="0"/>
          <w:bCs w:val="0"/>
          <w:color w:val="auto"/>
        </w:rPr>
        <w:t>реформирования заключалась</w:t>
      </w: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</w:t>
      </w:r>
      <w:r w:rsidR="00823914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в следующем. </w:t>
      </w: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</w:t>
      </w:r>
      <w:r w:rsidR="00823914">
        <w:rPr>
          <w:rFonts w:ascii="Times New Roman" w:eastAsiaTheme="minorEastAsia" w:hAnsi="Times New Roman" w:cs="Times New Roman"/>
          <w:b w:val="0"/>
          <w:bCs w:val="0"/>
          <w:color w:val="auto"/>
        </w:rPr>
        <w:t>О</w:t>
      </w: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снов</w:t>
      </w:r>
      <w:r w:rsidR="00823914">
        <w:rPr>
          <w:rFonts w:ascii="Times New Roman" w:eastAsiaTheme="minorEastAsia" w:hAnsi="Times New Roman" w:cs="Times New Roman"/>
          <w:b w:val="0"/>
          <w:bCs w:val="0"/>
          <w:color w:val="auto"/>
        </w:rPr>
        <w:t>у</w:t>
      </w: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вычислений сумм оплат за землю </w:t>
      </w:r>
      <w:r w:rsidR="00823914">
        <w:rPr>
          <w:rFonts w:ascii="Times New Roman" w:eastAsiaTheme="minorEastAsia" w:hAnsi="Times New Roman" w:cs="Times New Roman"/>
          <w:b w:val="0"/>
          <w:bCs w:val="0"/>
          <w:color w:val="auto"/>
        </w:rPr>
        <w:t>составляет</w:t>
      </w: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оценка, </w:t>
      </w:r>
      <w:r w:rsidR="00823914">
        <w:rPr>
          <w:rFonts w:ascii="Times New Roman" w:eastAsiaTheme="minorEastAsia" w:hAnsi="Times New Roman" w:cs="Times New Roman"/>
          <w:b w:val="0"/>
          <w:bCs w:val="0"/>
          <w:color w:val="auto"/>
        </w:rPr>
        <w:t>которая опирается</w:t>
      </w: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на специальн</w:t>
      </w:r>
      <w:r w:rsidR="00823914">
        <w:rPr>
          <w:rFonts w:ascii="Times New Roman" w:eastAsiaTheme="minorEastAsia" w:hAnsi="Times New Roman" w:cs="Times New Roman"/>
          <w:b w:val="0"/>
          <w:bCs w:val="0"/>
          <w:color w:val="auto"/>
        </w:rPr>
        <w:t>ый документ – кадастр</w:t>
      </w: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. Напомним, раньше, чтобы получить общую сумму налога брали оценку недвижимости согласно инвентаризации. </w:t>
      </w:r>
      <w:r w:rsidR="00CC04F6">
        <w:rPr>
          <w:rFonts w:ascii="Times New Roman" w:eastAsiaTheme="minorEastAsia" w:hAnsi="Times New Roman" w:cs="Times New Roman"/>
          <w:b w:val="0"/>
          <w:bCs w:val="0"/>
          <w:color w:val="auto"/>
        </w:rPr>
        <w:t>Н</w:t>
      </w: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а сегодняшний день люди, которым принадлежит недвижимость или земельные участки, должны рассчитывать налог по-новом</w:t>
      </w:r>
      <w:r w:rsidR="00CC04F6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у. </w:t>
      </w: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Необходимо подробно разобраться об изменениях, которые принесла реформа, и четко ориентироваться, чего ожидать от нововведений в </w:t>
      </w:r>
      <w:r w:rsidR="005D08D5">
        <w:rPr>
          <w:rFonts w:ascii="Times New Roman" w:eastAsiaTheme="minorEastAsia" w:hAnsi="Times New Roman" w:cs="Times New Roman"/>
          <w:b w:val="0"/>
          <w:bCs w:val="0"/>
          <w:color w:val="auto"/>
        </w:rPr>
        <w:t>части начисления</w:t>
      </w: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н</w:t>
      </w:r>
      <w:r w:rsidR="005D08D5">
        <w:rPr>
          <w:rFonts w:ascii="Times New Roman" w:eastAsiaTheme="minorEastAsia" w:hAnsi="Times New Roman" w:cs="Times New Roman"/>
          <w:b w:val="0"/>
          <w:bCs w:val="0"/>
          <w:color w:val="auto"/>
        </w:rPr>
        <w:t>алога на недвижимость 2019 года.</w:t>
      </w:r>
    </w:p>
    <w:p w:rsidR="005504A4" w:rsidRPr="007C49F7" w:rsidRDefault="005504A4" w:rsidP="005504A4">
      <w:pPr>
        <w:rPr>
          <w:rFonts w:ascii="Times New Roman" w:hAnsi="Times New Roman" w:cs="Times New Roman"/>
        </w:rPr>
      </w:pPr>
    </w:p>
    <w:p w:rsidR="005504A4" w:rsidRPr="007C49F7" w:rsidRDefault="005504A4" w:rsidP="005504A4">
      <w:pPr>
        <w:rPr>
          <w:rFonts w:ascii="Times New Roman" w:hAnsi="Times New Roman" w:cs="Times New Roman"/>
          <w:b/>
          <w:sz w:val="28"/>
          <w:szCs w:val="28"/>
        </w:rPr>
      </w:pPr>
      <w:r w:rsidRPr="007C49F7">
        <w:rPr>
          <w:rFonts w:ascii="Times New Roman" w:hAnsi="Times New Roman" w:cs="Times New Roman"/>
          <w:b/>
          <w:sz w:val="28"/>
          <w:szCs w:val="28"/>
        </w:rPr>
        <w:t>Реформ</w:t>
      </w:r>
      <w:r w:rsidR="005D08D5">
        <w:rPr>
          <w:rFonts w:ascii="Times New Roman" w:hAnsi="Times New Roman" w:cs="Times New Roman"/>
          <w:b/>
          <w:sz w:val="28"/>
          <w:szCs w:val="28"/>
        </w:rPr>
        <w:t>ы</w:t>
      </w:r>
      <w:r w:rsidRPr="007C49F7">
        <w:rPr>
          <w:rFonts w:ascii="Times New Roman" w:hAnsi="Times New Roman" w:cs="Times New Roman"/>
          <w:b/>
          <w:sz w:val="28"/>
          <w:szCs w:val="28"/>
        </w:rPr>
        <w:t xml:space="preserve"> налогообложения недвижимости</w:t>
      </w:r>
    </w:p>
    <w:p w:rsidR="00C33AB9" w:rsidRPr="007C49F7" w:rsidRDefault="0006689B" w:rsidP="00C33AB9">
      <w:pPr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 xml:space="preserve"> </w:t>
      </w:r>
      <w:r w:rsidR="00C33AB9" w:rsidRPr="007C49F7">
        <w:rPr>
          <w:rFonts w:ascii="Times New Roman" w:hAnsi="Times New Roman" w:cs="Times New Roman"/>
          <w:sz w:val="26"/>
          <w:szCs w:val="26"/>
        </w:rPr>
        <w:t>Об</w:t>
      </w:r>
      <w:r w:rsidR="005D08D5">
        <w:rPr>
          <w:rFonts w:ascii="Times New Roman" w:hAnsi="Times New Roman" w:cs="Times New Roman"/>
          <w:sz w:val="26"/>
          <w:szCs w:val="26"/>
        </w:rPr>
        <w:t xml:space="preserve"> грядущих </w:t>
      </w:r>
      <w:r w:rsidR="00C33AB9" w:rsidRPr="007C49F7">
        <w:rPr>
          <w:rFonts w:ascii="Times New Roman" w:hAnsi="Times New Roman" w:cs="Times New Roman"/>
          <w:sz w:val="26"/>
          <w:szCs w:val="26"/>
        </w:rPr>
        <w:t xml:space="preserve">изменениях в </w:t>
      </w:r>
      <w:r w:rsidR="00432F3C">
        <w:rPr>
          <w:rFonts w:ascii="Times New Roman" w:hAnsi="Times New Roman" w:cs="Times New Roman"/>
          <w:sz w:val="26"/>
          <w:szCs w:val="26"/>
        </w:rPr>
        <w:t>налоговый</w:t>
      </w:r>
      <w:r w:rsidR="00C33AB9" w:rsidRPr="007C49F7">
        <w:rPr>
          <w:rFonts w:ascii="Times New Roman" w:hAnsi="Times New Roman" w:cs="Times New Roman"/>
          <w:sz w:val="26"/>
          <w:szCs w:val="26"/>
        </w:rPr>
        <w:t xml:space="preserve"> кодекс РФ чиновники заговорили еще в 2014 году.  Уже в следующем 20</w:t>
      </w:r>
      <w:r w:rsidR="005D08D5">
        <w:rPr>
          <w:rFonts w:ascii="Times New Roman" w:hAnsi="Times New Roman" w:cs="Times New Roman"/>
          <w:sz w:val="26"/>
          <w:szCs w:val="26"/>
        </w:rPr>
        <w:t>15г жители страны начали жить по</w:t>
      </w:r>
      <w:r w:rsidR="00C33AB9" w:rsidRPr="007C49F7">
        <w:rPr>
          <w:rFonts w:ascii="Times New Roman" w:hAnsi="Times New Roman" w:cs="Times New Roman"/>
          <w:sz w:val="26"/>
          <w:szCs w:val="26"/>
        </w:rPr>
        <w:t xml:space="preserve"> откорректированным законодательным нормам. Эта реформа повлекла за собой появление изменение типа </w:t>
      </w:r>
      <w:r w:rsidR="005D08D5">
        <w:rPr>
          <w:rFonts w:ascii="Times New Roman" w:hAnsi="Times New Roman" w:cs="Times New Roman"/>
          <w:sz w:val="26"/>
          <w:szCs w:val="26"/>
        </w:rPr>
        <w:t>ставки налога</w:t>
      </w:r>
      <w:r w:rsidR="00C33AB9" w:rsidRPr="007C49F7">
        <w:rPr>
          <w:rFonts w:ascii="Times New Roman" w:hAnsi="Times New Roman" w:cs="Times New Roman"/>
          <w:sz w:val="26"/>
          <w:szCs w:val="26"/>
        </w:rPr>
        <w:t>. Ключевые моменты нововведений были таковы:</w:t>
      </w:r>
    </w:p>
    <w:p w:rsidR="00C33AB9" w:rsidRPr="007C49F7" w:rsidRDefault="00C33AB9" w:rsidP="00C33AB9">
      <w:pPr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Не смотря на масштабность реформы, власть</w:t>
      </w:r>
      <w:r w:rsidR="005D08D5">
        <w:rPr>
          <w:rFonts w:ascii="Times New Roman" w:hAnsi="Times New Roman" w:cs="Times New Roman"/>
          <w:sz w:val="26"/>
          <w:szCs w:val="26"/>
        </w:rPr>
        <w:t>ю было</w:t>
      </w:r>
      <w:r w:rsidRPr="007C49F7">
        <w:rPr>
          <w:rFonts w:ascii="Times New Roman" w:hAnsi="Times New Roman" w:cs="Times New Roman"/>
          <w:sz w:val="26"/>
          <w:szCs w:val="26"/>
        </w:rPr>
        <w:t xml:space="preserve"> приня</w:t>
      </w:r>
      <w:r w:rsidR="005D08D5">
        <w:rPr>
          <w:rFonts w:ascii="Times New Roman" w:hAnsi="Times New Roman" w:cs="Times New Roman"/>
          <w:sz w:val="26"/>
          <w:szCs w:val="26"/>
        </w:rPr>
        <w:t>то</w:t>
      </w:r>
      <w:r w:rsidRPr="007C49F7">
        <w:rPr>
          <w:rFonts w:ascii="Times New Roman" w:hAnsi="Times New Roman" w:cs="Times New Roman"/>
          <w:sz w:val="26"/>
          <w:szCs w:val="26"/>
        </w:rPr>
        <w:t xml:space="preserve"> решение не вносить глобальные корректировки в налогообложение сразу, так как это могло повлиять на благосклонность электората. При этом</w:t>
      </w:r>
      <w:proofErr w:type="gramStart"/>
      <w:r w:rsidRPr="007C49F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C49F7">
        <w:rPr>
          <w:rFonts w:ascii="Times New Roman" w:hAnsi="Times New Roman" w:cs="Times New Roman"/>
          <w:sz w:val="26"/>
          <w:szCs w:val="26"/>
        </w:rPr>
        <w:t xml:space="preserve"> внедрение изменений должно было носить п</w:t>
      </w:r>
      <w:r w:rsidR="005D08D5">
        <w:rPr>
          <w:rFonts w:ascii="Times New Roman" w:hAnsi="Times New Roman" w:cs="Times New Roman"/>
          <w:sz w:val="26"/>
          <w:szCs w:val="26"/>
        </w:rPr>
        <w:t>оэтапный пролонгированный характер, который состави</w:t>
      </w:r>
      <w:r w:rsidR="00852C1A">
        <w:rPr>
          <w:rFonts w:ascii="Times New Roman" w:hAnsi="Times New Roman" w:cs="Times New Roman"/>
          <w:sz w:val="26"/>
          <w:szCs w:val="26"/>
        </w:rPr>
        <w:t>т</w:t>
      </w:r>
      <w:r w:rsidR="005D08D5">
        <w:rPr>
          <w:rFonts w:ascii="Times New Roman" w:hAnsi="Times New Roman" w:cs="Times New Roman"/>
          <w:sz w:val="26"/>
          <w:szCs w:val="26"/>
        </w:rPr>
        <w:t xml:space="preserve"> </w:t>
      </w:r>
      <w:r w:rsidRPr="007C49F7">
        <w:rPr>
          <w:rFonts w:ascii="Times New Roman" w:hAnsi="Times New Roman" w:cs="Times New Roman"/>
          <w:sz w:val="26"/>
          <w:szCs w:val="26"/>
        </w:rPr>
        <w:t>5 лет (с 2014-2019гг)</w:t>
      </w:r>
    </w:p>
    <w:p w:rsidR="00C33AB9" w:rsidRPr="007C49F7" w:rsidRDefault="00C33AB9" w:rsidP="00C33AB9">
      <w:pPr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 xml:space="preserve">• В то время </w:t>
      </w:r>
      <w:r w:rsidR="00852C1A" w:rsidRPr="007C49F7">
        <w:rPr>
          <w:rFonts w:ascii="Times New Roman" w:hAnsi="Times New Roman" w:cs="Times New Roman"/>
          <w:sz w:val="26"/>
          <w:szCs w:val="26"/>
        </w:rPr>
        <w:t xml:space="preserve">на период адаптации </w:t>
      </w:r>
      <w:r w:rsidRPr="007C49F7">
        <w:rPr>
          <w:rFonts w:ascii="Times New Roman" w:hAnsi="Times New Roman" w:cs="Times New Roman"/>
          <w:sz w:val="26"/>
          <w:szCs w:val="26"/>
        </w:rPr>
        <w:t xml:space="preserve">налоговой службой </w:t>
      </w:r>
      <w:r w:rsidR="00852C1A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7C49F7">
        <w:rPr>
          <w:rFonts w:ascii="Times New Roman" w:hAnsi="Times New Roman" w:cs="Times New Roman"/>
          <w:sz w:val="26"/>
          <w:szCs w:val="26"/>
        </w:rPr>
        <w:t>были внедрены коэффициенты</w:t>
      </w:r>
      <w:r w:rsidR="00852C1A">
        <w:rPr>
          <w:rFonts w:ascii="Times New Roman" w:hAnsi="Times New Roman" w:cs="Times New Roman"/>
          <w:sz w:val="26"/>
          <w:szCs w:val="26"/>
        </w:rPr>
        <w:t xml:space="preserve"> понижения</w:t>
      </w:r>
      <w:r w:rsidRPr="007C49F7">
        <w:rPr>
          <w:rFonts w:ascii="Times New Roman" w:hAnsi="Times New Roman" w:cs="Times New Roman"/>
          <w:sz w:val="26"/>
          <w:szCs w:val="26"/>
        </w:rPr>
        <w:t xml:space="preserve">, </w:t>
      </w:r>
      <w:r w:rsidR="00852C1A">
        <w:rPr>
          <w:rFonts w:ascii="Times New Roman" w:hAnsi="Times New Roman" w:cs="Times New Roman"/>
          <w:sz w:val="26"/>
          <w:szCs w:val="26"/>
        </w:rPr>
        <w:t>целью которых было</w:t>
      </w:r>
      <w:r w:rsidRPr="007C49F7">
        <w:rPr>
          <w:rFonts w:ascii="Times New Roman" w:hAnsi="Times New Roman" w:cs="Times New Roman"/>
          <w:sz w:val="26"/>
          <w:szCs w:val="26"/>
        </w:rPr>
        <w:t xml:space="preserve"> сдерживать налог. </w:t>
      </w:r>
      <w:r w:rsidR="00852C1A">
        <w:rPr>
          <w:rFonts w:ascii="Times New Roman" w:hAnsi="Times New Roman" w:cs="Times New Roman"/>
          <w:sz w:val="26"/>
          <w:szCs w:val="26"/>
        </w:rPr>
        <w:t xml:space="preserve">На первых порах </w:t>
      </w:r>
      <w:r w:rsidRPr="007C49F7">
        <w:rPr>
          <w:rFonts w:ascii="Times New Roman" w:hAnsi="Times New Roman" w:cs="Times New Roman"/>
          <w:sz w:val="26"/>
          <w:szCs w:val="26"/>
        </w:rPr>
        <w:t xml:space="preserve">начала сдерживающий коэффициент в 2015 году составлял 0,2,  к 2016 году он вырос на 0,2 пункта и составил 0,4, а в 2017 поднялся до 0,6. Сейчас данный показатель находится на отметке 0,8. С 2020 г. жители России не будут иметь возможности рассчитывать налог по </w:t>
      </w:r>
      <w:r w:rsidR="00293154">
        <w:rPr>
          <w:rFonts w:ascii="Times New Roman" w:hAnsi="Times New Roman" w:cs="Times New Roman"/>
          <w:sz w:val="26"/>
          <w:szCs w:val="26"/>
        </w:rPr>
        <w:t>этой</w:t>
      </w:r>
      <w:r w:rsidRPr="007C49F7">
        <w:rPr>
          <w:rFonts w:ascii="Times New Roman" w:hAnsi="Times New Roman" w:cs="Times New Roman"/>
          <w:sz w:val="26"/>
          <w:szCs w:val="26"/>
        </w:rPr>
        <w:t xml:space="preserve"> схеме, так как Налоговой службой будет установлена единая ставка, </w:t>
      </w:r>
      <w:r w:rsidR="00293154">
        <w:rPr>
          <w:rFonts w:ascii="Times New Roman" w:hAnsi="Times New Roman" w:cs="Times New Roman"/>
          <w:sz w:val="26"/>
          <w:szCs w:val="26"/>
        </w:rPr>
        <w:t>согласно</w:t>
      </w:r>
      <w:r w:rsidRPr="007C49F7">
        <w:rPr>
          <w:rFonts w:ascii="Times New Roman" w:hAnsi="Times New Roman" w:cs="Times New Roman"/>
          <w:sz w:val="26"/>
          <w:szCs w:val="26"/>
        </w:rPr>
        <w:t xml:space="preserve"> которой будет насчитываться налог на недвижимость.</w:t>
      </w:r>
    </w:p>
    <w:p w:rsidR="00C33AB9" w:rsidRPr="007C49F7" w:rsidRDefault="00C33AB9" w:rsidP="00C33AB9">
      <w:pPr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Первое время данная система оценки нал</w:t>
      </w:r>
      <w:r w:rsidR="008A5787">
        <w:rPr>
          <w:rFonts w:ascii="Times New Roman" w:hAnsi="Times New Roman" w:cs="Times New Roman"/>
          <w:sz w:val="26"/>
          <w:szCs w:val="26"/>
        </w:rPr>
        <w:t xml:space="preserve">ога имела некоторые проблемы в </w:t>
      </w:r>
      <w:proofErr w:type="spellStart"/>
      <w:r w:rsidR="008A5787">
        <w:rPr>
          <w:rFonts w:ascii="Times New Roman" w:hAnsi="Times New Roman" w:cs="Times New Roman"/>
          <w:sz w:val="26"/>
          <w:szCs w:val="26"/>
        </w:rPr>
        <w:t>на</w:t>
      </w:r>
      <w:r w:rsidRPr="007C49F7">
        <w:rPr>
          <w:rFonts w:ascii="Times New Roman" w:hAnsi="Times New Roman" w:cs="Times New Roman"/>
          <w:sz w:val="26"/>
          <w:szCs w:val="26"/>
        </w:rPr>
        <w:t>счислении</w:t>
      </w:r>
      <w:proofErr w:type="spellEnd"/>
      <w:r w:rsidRPr="007C49F7">
        <w:rPr>
          <w:rFonts w:ascii="Times New Roman" w:hAnsi="Times New Roman" w:cs="Times New Roman"/>
          <w:sz w:val="26"/>
          <w:szCs w:val="26"/>
        </w:rPr>
        <w:t xml:space="preserve">. В ходе расчетов получалось разное значение налогооблагаемой базы. </w:t>
      </w:r>
      <w:r w:rsidR="008A5787">
        <w:rPr>
          <w:rFonts w:ascii="Times New Roman" w:hAnsi="Times New Roman" w:cs="Times New Roman"/>
          <w:sz w:val="26"/>
          <w:szCs w:val="26"/>
        </w:rPr>
        <w:t xml:space="preserve">Разница </w:t>
      </w:r>
      <w:r w:rsidRPr="007C49F7">
        <w:rPr>
          <w:rFonts w:ascii="Times New Roman" w:hAnsi="Times New Roman" w:cs="Times New Roman"/>
          <w:sz w:val="26"/>
          <w:szCs w:val="26"/>
        </w:rPr>
        <w:t>инвентаризационной и кадастровой оценки могл</w:t>
      </w:r>
      <w:r w:rsidR="008A5787">
        <w:rPr>
          <w:rFonts w:ascii="Times New Roman" w:hAnsi="Times New Roman" w:cs="Times New Roman"/>
          <w:sz w:val="26"/>
          <w:szCs w:val="26"/>
        </w:rPr>
        <w:t>а</w:t>
      </w:r>
      <w:r w:rsidRPr="007C49F7">
        <w:rPr>
          <w:rFonts w:ascii="Times New Roman" w:hAnsi="Times New Roman" w:cs="Times New Roman"/>
          <w:sz w:val="26"/>
          <w:szCs w:val="26"/>
        </w:rPr>
        <w:t xml:space="preserve"> достигать </w:t>
      </w:r>
      <w:r w:rsidR="008A5787">
        <w:rPr>
          <w:rFonts w:ascii="Times New Roman" w:hAnsi="Times New Roman" w:cs="Times New Roman"/>
          <w:sz w:val="26"/>
          <w:szCs w:val="26"/>
        </w:rPr>
        <w:t>интервала</w:t>
      </w:r>
      <w:r w:rsidR="002F448B">
        <w:rPr>
          <w:rFonts w:ascii="Times New Roman" w:hAnsi="Times New Roman" w:cs="Times New Roman"/>
          <w:sz w:val="26"/>
          <w:szCs w:val="26"/>
        </w:rPr>
        <w:t xml:space="preserve"> в 10 раз.</w:t>
      </w:r>
      <w:r w:rsidRPr="007C49F7">
        <w:rPr>
          <w:rFonts w:ascii="Times New Roman" w:hAnsi="Times New Roman" w:cs="Times New Roman"/>
          <w:sz w:val="26"/>
          <w:szCs w:val="26"/>
        </w:rPr>
        <w:t xml:space="preserve"> Поэтому, люди, у которых есть недвижимость, имеют возможность подумать об оценке, которая используется. Тем не менее, фискальная служба уверя</w:t>
      </w:r>
      <w:r w:rsidR="002F448B">
        <w:rPr>
          <w:rFonts w:ascii="Times New Roman" w:hAnsi="Times New Roman" w:cs="Times New Roman"/>
          <w:sz w:val="26"/>
          <w:szCs w:val="26"/>
        </w:rPr>
        <w:t>ла</w:t>
      </w:r>
      <w:r w:rsidRPr="007C49F7">
        <w:rPr>
          <w:rFonts w:ascii="Times New Roman" w:hAnsi="Times New Roman" w:cs="Times New Roman"/>
          <w:sz w:val="26"/>
          <w:szCs w:val="26"/>
        </w:rPr>
        <w:t>, корректирующие коэффициенты могут сравнять эти вид</w:t>
      </w:r>
      <w:r w:rsidR="002F448B">
        <w:rPr>
          <w:rFonts w:ascii="Times New Roman" w:hAnsi="Times New Roman" w:cs="Times New Roman"/>
          <w:sz w:val="26"/>
          <w:szCs w:val="26"/>
        </w:rPr>
        <w:t>ы</w:t>
      </w:r>
      <w:r w:rsidRPr="007C49F7">
        <w:rPr>
          <w:rFonts w:ascii="Times New Roman" w:hAnsi="Times New Roman" w:cs="Times New Roman"/>
          <w:sz w:val="26"/>
          <w:szCs w:val="26"/>
        </w:rPr>
        <w:t xml:space="preserve"> оценки уже в 2019 году. Таким образом, рыночные показатели не будут отличаться от </w:t>
      </w:r>
      <w:proofErr w:type="gramStart"/>
      <w:r w:rsidRPr="007C49F7">
        <w:rPr>
          <w:rFonts w:ascii="Times New Roman" w:hAnsi="Times New Roman" w:cs="Times New Roman"/>
          <w:sz w:val="26"/>
          <w:szCs w:val="26"/>
        </w:rPr>
        <w:t>кадастровых</w:t>
      </w:r>
      <w:proofErr w:type="gramEnd"/>
      <w:r w:rsidRPr="007C49F7">
        <w:rPr>
          <w:rFonts w:ascii="Times New Roman" w:hAnsi="Times New Roman" w:cs="Times New Roman"/>
          <w:sz w:val="26"/>
          <w:szCs w:val="26"/>
        </w:rPr>
        <w:t>.</w:t>
      </w:r>
    </w:p>
    <w:p w:rsidR="00ED6697" w:rsidRPr="007C49F7" w:rsidRDefault="00C33AB9" w:rsidP="00C33AB9">
      <w:pPr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lastRenderedPageBreak/>
        <w:t>• При завышении кадастровой оценки, владельцы недвижимости могут в 2019 году подать заявление в специально созданную комиссию по вопросам кадастра, чтобы оспорить данный момент. Если же вынесенное решение комиссией не устроит</w:t>
      </w:r>
      <w:proofErr w:type="gramStart"/>
      <w:r w:rsidRPr="007C49F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49F7">
        <w:rPr>
          <w:rFonts w:ascii="Times New Roman" w:hAnsi="Times New Roman" w:cs="Times New Roman"/>
          <w:sz w:val="26"/>
          <w:szCs w:val="26"/>
        </w:rPr>
        <w:t>тогда можно обратиться в суд.</w:t>
      </w:r>
    </w:p>
    <w:p w:rsidR="005504A4" w:rsidRPr="007C49F7" w:rsidRDefault="005504A4" w:rsidP="005504A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9F7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Pr="007C49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9F7">
        <w:rPr>
          <w:rFonts w:ascii="Times New Roman" w:hAnsi="Times New Roman" w:cs="Times New Roman"/>
          <w:b/>
          <w:sz w:val="28"/>
          <w:szCs w:val="28"/>
        </w:rPr>
        <w:t>обьекты</w:t>
      </w:r>
      <w:proofErr w:type="spellEnd"/>
      <w:r w:rsidRPr="007C49F7">
        <w:rPr>
          <w:rFonts w:ascii="Times New Roman" w:hAnsi="Times New Roman" w:cs="Times New Roman"/>
          <w:b/>
          <w:sz w:val="28"/>
          <w:szCs w:val="28"/>
        </w:rPr>
        <w:t xml:space="preserve"> облагаются налогом</w:t>
      </w:r>
    </w:p>
    <w:p w:rsidR="00C33AB9" w:rsidRPr="007C49F7" w:rsidRDefault="00C33AB9" w:rsidP="00C33AB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Жители России заплатят налог на недвижимость в 2019 году, если они имеют в распоряжении следующие объекты налогообложения:</w:t>
      </w:r>
    </w:p>
    <w:p w:rsidR="00C33AB9" w:rsidRPr="007C49F7" w:rsidRDefault="00C33AB9" w:rsidP="00C33AB9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Строение, площадь которого до 50 кв.м. В эту категорию входят строения, находящиеся на участке земли, выделенного для огорода, сада или строительство дома.</w:t>
      </w:r>
    </w:p>
    <w:p w:rsidR="00C33AB9" w:rsidRPr="007C49F7" w:rsidRDefault="00C33AB9" w:rsidP="00C33AB9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Любое помещение жилого типа: будь то апартаменты, квартирная площадь, либо постройка дома;</w:t>
      </w:r>
    </w:p>
    <w:p w:rsidR="00C33AB9" w:rsidRPr="007C49F7" w:rsidRDefault="00C33AB9" w:rsidP="00C33AB9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Гараж или парковочное место;</w:t>
      </w:r>
    </w:p>
    <w:p w:rsidR="00C33AB9" w:rsidRPr="007C49F7" w:rsidRDefault="00C33AB9" w:rsidP="00C33AB9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Жилое помещение, которое еще не достроено;</w:t>
      </w:r>
    </w:p>
    <w:p w:rsidR="00ED6697" w:rsidRPr="007C49F7" w:rsidRDefault="00C33AB9" w:rsidP="00C33AB9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Комплекс недвижимости, если одно из объектов которого относится к жилому типу;</w:t>
      </w:r>
    </w:p>
    <w:p w:rsidR="005504A4" w:rsidRPr="007C49F7" w:rsidRDefault="005504A4" w:rsidP="005504A4">
      <w:pPr>
        <w:rPr>
          <w:rFonts w:ascii="Times New Roman" w:hAnsi="Times New Roman" w:cs="Times New Roman"/>
          <w:b/>
          <w:sz w:val="28"/>
          <w:szCs w:val="28"/>
        </w:rPr>
      </w:pPr>
      <w:r w:rsidRPr="007C49F7">
        <w:rPr>
          <w:rFonts w:ascii="Times New Roman" w:hAnsi="Times New Roman" w:cs="Times New Roman"/>
          <w:b/>
          <w:sz w:val="28"/>
          <w:szCs w:val="28"/>
        </w:rPr>
        <w:t>Размер налога на примерах</w:t>
      </w:r>
    </w:p>
    <w:p w:rsidR="00C33AB9" w:rsidRPr="007C49F7" w:rsidRDefault="00C33AB9" w:rsidP="00C33AB9">
      <w:pPr>
        <w:pStyle w:val="2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Ставка налога в 2019 году составит от 0,1% цены, внесенной в документы по кадастру. Важно уточнить, что местная власть имеет право вносить правки касаемо ставок налогообложения и их формирования </w:t>
      </w:r>
      <w:proofErr w:type="gramStart"/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согласно</w:t>
      </w:r>
      <w:proofErr w:type="gramEnd"/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 их расширенных полномочий. Так, отдельный регион имеет право, как поднять ставку, так и полностью ее отменить.  Таким образом, налог будет начислен </w:t>
      </w:r>
      <w:proofErr w:type="gramStart"/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согласно</w:t>
      </w:r>
      <w:proofErr w:type="gramEnd"/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кадастровой системы оценки. При этом будут применены такие начисления:</w:t>
      </w:r>
    </w:p>
    <w:p w:rsidR="00C33AB9" w:rsidRPr="007C49F7" w:rsidRDefault="00C33AB9" w:rsidP="00C33AB9">
      <w:pPr>
        <w:pStyle w:val="2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• 10 кв.м. всей площади (для граждан, у которых в собственности имеются отдельные комнаты);</w:t>
      </w:r>
    </w:p>
    <w:p w:rsidR="00C33AB9" w:rsidRPr="007C49F7" w:rsidRDefault="00C33AB9" w:rsidP="00C33AB9">
      <w:pPr>
        <w:pStyle w:val="2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•  20 кв.м. (для владельцев квартир);</w:t>
      </w:r>
    </w:p>
    <w:p w:rsidR="00C33AB9" w:rsidRPr="007C49F7" w:rsidRDefault="00C33AB9" w:rsidP="00C33AB9">
      <w:pPr>
        <w:pStyle w:val="2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•  50 кв.м. (для собственников домов).</w:t>
      </w:r>
    </w:p>
    <w:p w:rsidR="00C33AB9" w:rsidRPr="007C49F7" w:rsidRDefault="00C33AB9" w:rsidP="00C33AB9">
      <w:pPr>
        <w:pStyle w:val="2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Данная льгота может быть применена лишь к одному объекту недвижимости. Например, человек имеет во владении 2 квартиры. При этом</w:t>
      </w:r>
      <w:proofErr w:type="gramStart"/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,</w:t>
      </w:r>
      <w:proofErr w:type="gramEnd"/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насчитать налог 20 кв.м. можно только на одну. В случае</w:t>
      </w:r>
      <w:proofErr w:type="gramStart"/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,</w:t>
      </w:r>
      <w:proofErr w:type="gramEnd"/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если квартира охватывает площадь меньше налогового вычета, налог изыматься не будет.</w:t>
      </w:r>
    </w:p>
    <w:p w:rsidR="005504A4" w:rsidRDefault="00C33AB9" w:rsidP="007C49F7">
      <w:pPr>
        <w:pStyle w:val="2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Давайте рассмотрим пример, чтобы иметь представление, как действует нововведенный вид налогообложения недвижимости. К примеру, человек есть собственником квартиры в центре столицы, которая охватывает 54 кв.м. Согласно оценке кадастра 1 кв.м. этого вида имущества оценивается в 160 тыс</w:t>
      </w:r>
      <w:proofErr w:type="gramStart"/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.р</w:t>
      </w:r>
      <w:proofErr w:type="gramEnd"/>
      <w:r w:rsidRPr="007C49F7">
        <w:rPr>
          <w:rFonts w:ascii="Times New Roman" w:eastAsiaTheme="minorEastAsia" w:hAnsi="Times New Roman" w:cs="Times New Roman"/>
          <w:b w:val="0"/>
          <w:bCs w:val="0"/>
          <w:color w:val="auto"/>
        </w:rPr>
        <w:t>уб. Ставка составляет 0,1%. В результате вычислений налог равен 5,44 тыс.руб. Если размер ставки будет 0,3% в 2019 году, то размер налога составит 20 тыс.</w:t>
      </w:r>
    </w:p>
    <w:p w:rsidR="007C49F7" w:rsidRPr="007C49F7" w:rsidRDefault="007C49F7" w:rsidP="007C49F7"/>
    <w:p w:rsidR="005504A4" w:rsidRPr="007C49F7" w:rsidRDefault="005504A4" w:rsidP="005504A4">
      <w:pPr>
        <w:rPr>
          <w:rFonts w:ascii="Times New Roman" w:hAnsi="Times New Roman" w:cs="Times New Roman"/>
          <w:b/>
          <w:sz w:val="28"/>
          <w:szCs w:val="28"/>
        </w:rPr>
      </w:pPr>
      <w:r w:rsidRPr="007C49F7">
        <w:rPr>
          <w:rFonts w:ascii="Times New Roman" w:hAnsi="Times New Roman" w:cs="Times New Roman"/>
          <w:b/>
          <w:sz w:val="28"/>
          <w:szCs w:val="28"/>
        </w:rPr>
        <w:t>Льготы</w:t>
      </w:r>
      <w:proofErr w:type="gramStart"/>
      <w:r w:rsidRPr="007C49F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C49F7">
        <w:rPr>
          <w:rFonts w:ascii="Times New Roman" w:hAnsi="Times New Roman" w:cs="Times New Roman"/>
          <w:b/>
          <w:sz w:val="28"/>
          <w:szCs w:val="28"/>
        </w:rPr>
        <w:t xml:space="preserve"> применяемые законом при налогообложении недвижимости</w:t>
      </w:r>
    </w:p>
    <w:p w:rsidR="00BE25D0" w:rsidRPr="007C49F7" w:rsidRDefault="00BE25D0" w:rsidP="00BE25D0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Согласно Законодательству РФ предусмотрено льготное налогообложение для следующих категорий владельцев земли:</w:t>
      </w:r>
    </w:p>
    <w:p w:rsidR="00BE25D0" w:rsidRPr="007C49F7" w:rsidRDefault="00BE25D0" w:rsidP="00BE25D0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lastRenderedPageBreak/>
        <w:t>• пенсионеры по выслуге лет либо по возрасту;</w:t>
      </w:r>
    </w:p>
    <w:p w:rsidR="00BE25D0" w:rsidRPr="007C49F7" w:rsidRDefault="00BE25D0" w:rsidP="00BE25D0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 xml:space="preserve">• лица, которые получают пенсию по </w:t>
      </w:r>
      <w:proofErr w:type="gramStart"/>
      <w:r w:rsidRPr="007C49F7">
        <w:rPr>
          <w:rFonts w:ascii="Times New Roman" w:hAnsi="Times New Roman" w:cs="Times New Roman"/>
          <w:sz w:val="26"/>
          <w:szCs w:val="26"/>
        </w:rPr>
        <w:t>утрате кормильца</w:t>
      </w:r>
      <w:proofErr w:type="gramEnd"/>
      <w:r w:rsidRPr="007C49F7">
        <w:rPr>
          <w:rFonts w:ascii="Times New Roman" w:hAnsi="Times New Roman" w:cs="Times New Roman"/>
          <w:sz w:val="26"/>
          <w:szCs w:val="26"/>
        </w:rPr>
        <w:t>;</w:t>
      </w:r>
    </w:p>
    <w:p w:rsidR="00BE25D0" w:rsidRPr="007C49F7" w:rsidRDefault="00BE25D0" w:rsidP="00BE25D0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инвалиды с детства;</w:t>
      </w:r>
    </w:p>
    <w:p w:rsidR="00BE25D0" w:rsidRPr="007C49F7" w:rsidRDefault="00BE25D0" w:rsidP="00BE25D0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инвалиды 1 или 2 группы с подтвержденной инвалидностью;</w:t>
      </w:r>
    </w:p>
    <w:p w:rsidR="00BE25D0" w:rsidRPr="007C49F7" w:rsidRDefault="00BE25D0" w:rsidP="00BE25D0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граждане, которые являются участниками ВОВ;</w:t>
      </w:r>
    </w:p>
    <w:p w:rsidR="00BE25D0" w:rsidRPr="007C49F7" w:rsidRDefault="00BE25D0" w:rsidP="00BE25D0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военнослужащие;</w:t>
      </w:r>
    </w:p>
    <w:p w:rsidR="00BE25D0" w:rsidRPr="007C49F7" w:rsidRDefault="00BE25D0" w:rsidP="00BE25D0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>• супруги или родители граждан, которые погибли в результате военной, государственной службы.</w:t>
      </w:r>
    </w:p>
    <w:p w:rsidR="00BE25D0" w:rsidRPr="007C49F7" w:rsidRDefault="00BE25D0" w:rsidP="00BE25D0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44C97" w:rsidRPr="007C49F7" w:rsidRDefault="00BE25D0" w:rsidP="00BE25D0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C49F7">
        <w:rPr>
          <w:rFonts w:ascii="Times New Roman" w:hAnsi="Times New Roman" w:cs="Times New Roman"/>
          <w:sz w:val="26"/>
          <w:szCs w:val="26"/>
        </w:rPr>
        <w:t xml:space="preserve">Рассмотрим еще несколько вариантов наличия льгот. По запросу в местные органы управления, которые находятся за вашим местом жительства, </w:t>
      </w:r>
      <w:proofErr w:type="gramStart"/>
      <w:r w:rsidRPr="007C49F7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Pr="007C49F7">
        <w:rPr>
          <w:rFonts w:ascii="Times New Roman" w:hAnsi="Times New Roman" w:cs="Times New Roman"/>
          <w:sz w:val="26"/>
          <w:szCs w:val="26"/>
        </w:rPr>
        <w:t xml:space="preserve"> уточнить наличие льгот для  многодетных семей. В случае</w:t>
      </w:r>
      <w:proofErr w:type="gramStart"/>
      <w:r w:rsidRPr="007C49F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C49F7">
        <w:rPr>
          <w:rFonts w:ascii="Times New Roman" w:hAnsi="Times New Roman" w:cs="Times New Roman"/>
          <w:sz w:val="26"/>
          <w:szCs w:val="26"/>
        </w:rPr>
        <w:t xml:space="preserve"> если владелец имущества еще не достиг совершеннолетия,  он все равно будет платить налог. Например, была подарена квартира лицу, не достигшему 18 лет. Его родителе</w:t>
      </w:r>
      <w:r w:rsidR="00791FE3">
        <w:rPr>
          <w:rFonts w:ascii="Times New Roman" w:hAnsi="Times New Roman" w:cs="Times New Roman"/>
          <w:sz w:val="26"/>
          <w:szCs w:val="26"/>
        </w:rPr>
        <w:t>й</w:t>
      </w:r>
      <w:r w:rsidRPr="007C49F7">
        <w:rPr>
          <w:rFonts w:ascii="Times New Roman" w:hAnsi="Times New Roman" w:cs="Times New Roman"/>
          <w:sz w:val="26"/>
          <w:szCs w:val="26"/>
        </w:rPr>
        <w:t xml:space="preserve"> обяжут по законодательству уплатить налог. Важно, что льготы могут быть применены только к одному объекту из обозначенной категории. Например, пенсионер, в распоряжении у которого в качестве недвижимости две квартиры и гараж, налог будет платить только за одну квартиру. Другая квартира и гараж не будут </w:t>
      </w:r>
      <w:proofErr w:type="spellStart"/>
      <w:r w:rsidRPr="007C49F7">
        <w:rPr>
          <w:rFonts w:ascii="Times New Roman" w:hAnsi="Times New Roman" w:cs="Times New Roman"/>
          <w:sz w:val="26"/>
          <w:szCs w:val="26"/>
        </w:rPr>
        <w:t>налогооблагаться</w:t>
      </w:r>
      <w:proofErr w:type="spellEnd"/>
      <w:r w:rsidRPr="007C49F7">
        <w:rPr>
          <w:rFonts w:ascii="Times New Roman" w:hAnsi="Times New Roman" w:cs="Times New Roman"/>
          <w:sz w:val="26"/>
          <w:szCs w:val="26"/>
        </w:rPr>
        <w:t>.</w:t>
      </w:r>
    </w:p>
    <w:sectPr w:rsidR="00C44C97" w:rsidRPr="007C49F7" w:rsidSect="009B1C51">
      <w:headerReference w:type="default" r:id="rId8"/>
      <w:pgSz w:w="11906" w:h="16838"/>
      <w:pgMar w:top="567" w:right="567" w:bottom="567" w:left="851" w:header="709" w:footer="709" w:gutter="0"/>
      <w:cols w:space="124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BF1" w:rsidRDefault="00E86BF1" w:rsidP="006E1EF3">
      <w:pPr>
        <w:spacing w:after="0" w:line="240" w:lineRule="auto"/>
      </w:pPr>
      <w:r>
        <w:separator/>
      </w:r>
    </w:p>
  </w:endnote>
  <w:endnote w:type="continuationSeparator" w:id="0">
    <w:p w:rsidR="00E86BF1" w:rsidRDefault="00E86BF1" w:rsidP="006E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BF1" w:rsidRDefault="00E86BF1" w:rsidP="006E1EF3">
      <w:pPr>
        <w:spacing w:after="0" w:line="240" w:lineRule="auto"/>
      </w:pPr>
      <w:r>
        <w:separator/>
      </w:r>
    </w:p>
  </w:footnote>
  <w:footnote w:type="continuationSeparator" w:id="0">
    <w:p w:rsidR="00E86BF1" w:rsidRDefault="00E86BF1" w:rsidP="006E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EA" w:rsidRDefault="00E86BF1">
    <w:pPr>
      <w:pStyle w:val="ab"/>
      <w:jc w:val="right"/>
    </w:pPr>
  </w:p>
  <w:p w:rsidR="00B770EA" w:rsidRDefault="00E86BF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C21"/>
    <w:multiLevelType w:val="hybridMultilevel"/>
    <w:tmpl w:val="A1FE00E0"/>
    <w:lvl w:ilvl="0" w:tplc="041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">
    <w:nsid w:val="0FDB07A9"/>
    <w:multiLevelType w:val="hybridMultilevel"/>
    <w:tmpl w:val="22187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37C91"/>
    <w:multiLevelType w:val="multilevel"/>
    <w:tmpl w:val="3E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C4162"/>
    <w:multiLevelType w:val="hybridMultilevel"/>
    <w:tmpl w:val="F820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60144"/>
    <w:multiLevelType w:val="multilevel"/>
    <w:tmpl w:val="79C6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0314B"/>
    <w:multiLevelType w:val="multilevel"/>
    <w:tmpl w:val="95AE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82E61"/>
    <w:multiLevelType w:val="hybridMultilevel"/>
    <w:tmpl w:val="FC645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F84479F"/>
    <w:multiLevelType w:val="multilevel"/>
    <w:tmpl w:val="C6E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EA8"/>
    <w:rsid w:val="00006FA5"/>
    <w:rsid w:val="00007A39"/>
    <w:rsid w:val="00026820"/>
    <w:rsid w:val="00026EBC"/>
    <w:rsid w:val="00030864"/>
    <w:rsid w:val="00030A04"/>
    <w:rsid w:val="00040EBE"/>
    <w:rsid w:val="0004568D"/>
    <w:rsid w:val="00064CBB"/>
    <w:rsid w:val="0006689B"/>
    <w:rsid w:val="0008456B"/>
    <w:rsid w:val="000858F9"/>
    <w:rsid w:val="00092A9D"/>
    <w:rsid w:val="000976BB"/>
    <w:rsid w:val="000B03B6"/>
    <w:rsid w:val="000C3EDF"/>
    <w:rsid w:val="000C6002"/>
    <w:rsid w:val="000D418B"/>
    <w:rsid w:val="000D5422"/>
    <w:rsid w:val="000E4221"/>
    <w:rsid w:val="000E43A6"/>
    <w:rsid w:val="001018FA"/>
    <w:rsid w:val="0011720F"/>
    <w:rsid w:val="0015029D"/>
    <w:rsid w:val="00152805"/>
    <w:rsid w:val="001535AF"/>
    <w:rsid w:val="00153DC0"/>
    <w:rsid w:val="00155FDC"/>
    <w:rsid w:val="00156AF6"/>
    <w:rsid w:val="0016137D"/>
    <w:rsid w:val="00161EB5"/>
    <w:rsid w:val="00172ED4"/>
    <w:rsid w:val="00173828"/>
    <w:rsid w:val="001771CC"/>
    <w:rsid w:val="0018044E"/>
    <w:rsid w:val="00183D85"/>
    <w:rsid w:val="00195D51"/>
    <w:rsid w:val="00196D76"/>
    <w:rsid w:val="001970C5"/>
    <w:rsid w:val="001B17AA"/>
    <w:rsid w:val="001C0B35"/>
    <w:rsid w:val="001C16EA"/>
    <w:rsid w:val="001C2EE8"/>
    <w:rsid w:val="001E1561"/>
    <w:rsid w:val="001E4468"/>
    <w:rsid w:val="001E7C40"/>
    <w:rsid w:val="001F4499"/>
    <w:rsid w:val="00223D94"/>
    <w:rsid w:val="00224CB0"/>
    <w:rsid w:val="002449C3"/>
    <w:rsid w:val="00250A9D"/>
    <w:rsid w:val="002510E5"/>
    <w:rsid w:val="00256FFB"/>
    <w:rsid w:val="0027196C"/>
    <w:rsid w:val="0027414C"/>
    <w:rsid w:val="00275B07"/>
    <w:rsid w:val="00293154"/>
    <w:rsid w:val="00297688"/>
    <w:rsid w:val="002A0999"/>
    <w:rsid w:val="002A17EF"/>
    <w:rsid w:val="002A604E"/>
    <w:rsid w:val="002A6EAF"/>
    <w:rsid w:val="002C20ED"/>
    <w:rsid w:val="002D0512"/>
    <w:rsid w:val="002D1E21"/>
    <w:rsid w:val="002D31CD"/>
    <w:rsid w:val="002D55FA"/>
    <w:rsid w:val="002E3EC1"/>
    <w:rsid w:val="002F448B"/>
    <w:rsid w:val="002F5BE3"/>
    <w:rsid w:val="00302F27"/>
    <w:rsid w:val="00304E87"/>
    <w:rsid w:val="00305D0E"/>
    <w:rsid w:val="003348F8"/>
    <w:rsid w:val="00350AE7"/>
    <w:rsid w:val="00361C50"/>
    <w:rsid w:val="00366983"/>
    <w:rsid w:val="00367FD9"/>
    <w:rsid w:val="00375C61"/>
    <w:rsid w:val="00397333"/>
    <w:rsid w:val="003B2545"/>
    <w:rsid w:val="003B57C1"/>
    <w:rsid w:val="003D1746"/>
    <w:rsid w:val="003D7FF0"/>
    <w:rsid w:val="003E358F"/>
    <w:rsid w:val="003F67EC"/>
    <w:rsid w:val="003F7B6A"/>
    <w:rsid w:val="0040320F"/>
    <w:rsid w:val="0041323A"/>
    <w:rsid w:val="004163D7"/>
    <w:rsid w:val="00432F3C"/>
    <w:rsid w:val="004604F7"/>
    <w:rsid w:val="00462088"/>
    <w:rsid w:val="00464A3E"/>
    <w:rsid w:val="00473663"/>
    <w:rsid w:val="00481FD2"/>
    <w:rsid w:val="004859E1"/>
    <w:rsid w:val="00487629"/>
    <w:rsid w:val="00492DFE"/>
    <w:rsid w:val="00496649"/>
    <w:rsid w:val="004D7249"/>
    <w:rsid w:val="004E1ECD"/>
    <w:rsid w:val="004E7B57"/>
    <w:rsid w:val="004F53F4"/>
    <w:rsid w:val="004F7559"/>
    <w:rsid w:val="00503AD3"/>
    <w:rsid w:val="00505A35"/>
    <w:rsid w:val="005113D2"/>
    <w:rsid w:val="005120ED"/>
    <w:rsid w:val="005202F9"/>
    <w:rsid w:val="005344E4"/>
    <w:rsid w:val="00541E03"/>
    <w:rsid w:val="005504A4"/>
    <w:rsid w:val="00575B23"/>
    <w:rsid w:val="00594E69"/>
    <w:rsid w:val="005A0150"/>
    <w:rsid w:val="005B5242"/>
    <w:rsid w:val="005C0EA3"/>
    <w:rsid w:val="005D08D5"/>
    <w:rsid w:val="005E4FF3"/>
    <w:rsid w:val="00602B24"/>
    <w:rsid w:val="00607E62"/>
    <w:rsid w:val="0061459C"/>
    <w:rsid w:val="00622BDD"/>
    <w:rsid w:val="00624E4D"/>
    <w:rsid w:val="0063588F"/>
    <w:rsid w:val="0064104B"/>
    <w:rsid w:val="0064231A"/>
    <w:rsid w:val="00642E03"/>
    <w:rsid w:val="00654ED8"/>
    <w:rsid w:val="006633AA"/>
    <w:rsid w:val="00682887"/>
    <w:rsid w:val="00693E19"/>
    <w:rsid w:val="00694A34"/>
    <w:rsid w:val="006A2838"/>
    <w:rsid w:val="006A43A7"/>
    <w:rsid w:val="006A45A0"/>
    <w:rsid w:val="006A49CD"/>
    <w:rsid w:val="006C08BE"/>
    <w:rsid w:val="006C117F"/>
    <w:rsid w:val="006C2069"/>
    <w:rsid w:val="006D0268"/>
    <w:rsid w:val="006D2A99"/>
    <w:rsid w:val="006D3807"/>
    <w:rsid w:val="006D576C"/>
    <w:rsid w:val="006E1EF3"/>
    <w:rsid w:val="006E2F08"/>
    <w:rsid w:val="006F47B2"/>
    <w:rsid w:val="006F75AD"/>
    <w:rsid w:val="0070659C"/>
    <w:rsid w:val="00710E4A"/>
    <w:rsid w:val="007229AA"/>
    <w:rsid w:val="00722B0D"/>
    <w:rsid w:val="00740334"/>
    <w:rsid w:val="00741AA0"/>
    <w:rsid w:val="00750028"/>
    <w:rsid w:val="0075320C"/>
    <w:rsid w:val="00786BC4"/>
    <w:rsid w:val="00791FE3"/>
    <w:rsid w:val="007939EC"/>
    <w:rsid w:val="007A485C"/>
    <w:rsid w:val="007A5AAE"/>
    <w:rsid w:val="007A7E29"/>
    <w:rsid w:val="007C4837"/>
    <w:rsid w:val="007C49F7"/>
    <w:rsid w:val="007D1F4E"/>
    <w:rsid w:val="007F08B6"/>
    <w:rsid w:val="0081419E"/>
    <w:rsid w:val="00820C48"/>
    <w:rsid w:val="00822BFA"/>
    <w:rsid w:val="00823914"/>
    <w:rsid w:val="0083333E"/>
    <w:rsid w:val="00841D06"/>
    <w:rsid w:val="00850D4C"/>
    <w:rsid w:val="00852C1A"/>
    <w:rsid w:val="0085312F"/>
    <w:rsid w:val="00857426"/>
    <w:rsid w:val="0086211D"/>
    <w:rsid w:val="00865914"/>
    <w:rsid w:val="00893F8D"/>
    <w:rsid w:val="008A5787"/>
    <w:rsid w:val="008C5A91"/>
    <w:rsid w:val="008E2C6D"/>
    <w:rsid w:val="008E66B3"/>
    <w:rsid w:val="008F2A14"/>
    <w:rsid w:val="00901304"/>
    <w:rsid w:val="00907797"/>
    <w:rsid w:val="0092642C"/>
    <w:rsid w:val="00930185"/>
    <w:rsid w:val="00931CE8"/>
    <w:rsid w:val="009413A6"/>
    <w:rsid w:val="0096417D"/>
    <w:rsid w:val="009967CB"/>
    <w:rsid w:val="009A0A65"/>
    <w:rsid w:val="009B1C51"/>
    <w:rsid w:val="009B7A2F"/>
    <w:rsid w:val="009C4599"/>
    <w:rsid w:val="009D07C3"/>
    <w:rsid w:val="009D375E"/>
    <w:rsid w:val="009D796F"/>
    <w:rsid w:val="009E0818"/>
    <w:rsid w:val="009E1C21"/>
    <w:rsid w:val="009E3FE0"/>
    <w:rsid w:val="009E6813"/>
    <w:rsid w:val="009E6E0F"/>
    <w:rsid w:val="009F0081"/>
    <w:rsid w:val="009F663F"/>
    <w:rsid w:val="00A05857"/>
    <w:rsid w:val="00A13336"/>
    <w:rsid w:val="00A1768F"/>
    <w:rsid w:val="00A24703"/>
    <w:rsid w:val="00A31655"/>
    <w:rsid w:val="00A377E2"/>
    <w:rsid w:val="00A44951"/>
    <w:rsid w:val="00A53A64"/>
    <w:rsid w:val="00A54675"/>
    <w:rsid w:val="00A57DD5"/>
    <w:rsid w:val="00A57EE8"/>
    <w:rsid w:val="00A60D40"/>
    <w:rsid w:val="00A660D8"/>
    <w:rsid w:val="00A72E5D"/>
    <w:rsid w:val="00A8695F"/>
    <w:rsid w:val="00A87136"/>
    <w:rsid w:val="00A871B1"/>
    <w:rsid w:val="00AA0F87"/>
    <w:rsid w:val="00AC6DF2"/>
    <w:rsid w:val="00AD1CD0"/>
    <w:rsid w:val="00AD2E8E"/>
    <w:rsid w:val="00AF51F1"/>
    <w:rsid w:val="00B114AA"/>
    <w:rsid w:val="00B15427"/>
    <w:rsid w:val="00B15495"/>
    <w:rsid w:val="00B22218"/>
    <w:rsid w:val="00B251CF"/>
    <w:rsid w:val="00B263EF"/>
    <w:rsid w:val="00B378C1"/>
    <w:rsid w:val="00B4025E"/>
    <w:rsid w:val="00B535E2"/>
    <w:rsid w:val="00B748B7"/>
    <w:rsid w:val="00B91D93"/>
    <w:rsid w:val="00B95457"/>
    <w:rsid w:val="00BA4BFE"/>
    <w:rsid w:val="00BB6B17"/>
    <w:rsid w:val="00BC0685"/>
    <w:rsid w:val="00BC22D0"/>
    <w:rsid w:val="00BD32EF"/>
    <w:rsid w:val="00BD5D43"/>
    <w:rsid w:val="00BE25D0"/>
    <w:rsid w:val="00BE3778"/>
    <w:rsid w:val="00BF685A"/>
    <w:rsid w:val="00C022CA"/>
    <w:rsid w:val="00C03732"/>
    <w:rsid w:val="00C0531C"/>
    <w:rsid w:val="00C07FA5"/>
    <w:rsid w:val="00C13E1E"/>
    <w:rsid w:val="00C20DE5"/>
    <w:rsid w:val="00C21A6A"/>
    <w:rsid w:val="00C25DD4"/>
    <w:rsid w:val="00C309B2"/>
    <w:rsid w:val="00C31E1F"/>
    <w:rsid w:val="00C33AB9"/>
    <w:rsid w:val="00C35D18"/>
    <w:rsid w:val="00C37F22"/>
    <w:rsid w:val="00C4440A"/>
    <w:rsid w:val="00C44C97"/>
    <w:rsid w:val="00C73EF1"/>
    <w:rsid w:val="00C87B3D"/>
    <w:rsid w:val="00C90930"/>
    <w:rsid w:val="00CA0867"/>
    <w:rsid w:val="00CA20D0"/>
    <w:rsid w:val="00CA38AE"/>
    <w:rsid w:val="00CA634C"/>
    <w:rsid w:val="00CB55C8"/>
    <w:rsid w:val="00CB7EA8"/>
    <w:rsid w:val="00CC04F6"/>
    <w:rsid w:val="00CC2F61"/>
    <w:rsid w:val="00CE0B67"/>
    <w:rsid w:val="00CE607B"/>
    <w:rsid w:val="00D01343"/>
    <w:rsid w:val="00D027EC"/>
    <w:rsid w:val="00D06F43"/>
    <w:rsid w:val="00D10DC8"/>
    <w:rsid w:val="00D14C08"/>
    <w:rsid w:val="00D165F3"/>
    <w:rsid w:val="00D2018B"/>
    <w:rsid w:val="00D403B6"/>
    <w:rsid w:val="00D4070E"/>
    <w:rsid w:val="00D4440D"/>
    <w:rsid w:val="00D50B60"/>
    <w:rsid w:val="00D53BBC"/>
    <w:rsid w:val="00D62670"/>
    <w:rsid w:val="00D6648D"/>
    <w:rsid w:val="00D715B6"/>
    <w:rsid w:val="00D969FE"/>
    <w:rsid w:val="00DB2F81"/>
    <w:rsid w:val="00DC3BBD"/>
    <w:rsid w:val="00DC5543"/>
    <w:rsid w:val="00DD4CE1"/>
    <w:rsid w:val="00DF6760"/>
    <w:rsid w:val="00DF7918"/>
    <w:rsid w:val="00DF7987"/>
    <w:rsid w:val="00E17174"/>
    <w:rsid w:val="00E32004"/>
    <w:rsid w:val="00E3372C"/>
    <w:rsid w:val="00E369F5"/>
    <w:rsid w:val="00E37459"/>
    <w:rsid w:val="00E63842"/>
    <w:rsid w:val="00E76459"/>
    <w:rsid w:val="00E8335E"/>
    <w:rsid w:val="00E86BF1"/>
    <w:rsid w:val="00E93929"/>
    <w:rsid w:val="00E975F9"/>
    <w:rsid w:val="00EB1051"/>
    <w:rsid w:val="00EB7EE1"/>
    <w:rsid w:val="00EC4480"/>
    <w:rsid w:val="00EC6E7A"/>
    <w:rsid w:val="00ED1E1A"/>
    <w:rsid w:val="00ED6697"/>
    <w:rsid w:val="00ED7DAC"/>
    <w:rsid w:val="00EF7B1A"/>
    <w:rsid w:val="00EF7C56"/>
    <w:rsid w:val="00F06C9C"/>
    <w:rsid w:val="00F07DC3"/>
    <w:rsid w:val="00F1345F"/>
    <w:rsid w:val="00F17F94"/>
    <w:rsid w:val="00F24C0B"/>
    <w:rsid w:val="00F31B6D"/>
    <w:rsid w:val="00F36895"/>
    <w:rsid w:val="00F36B1D"/>
    <w:rsid w:val="00F37118"/>
    <w:rsid w:val="00F57176"/>
    <w:rsid w:val="00F6552A"/>
    <w:rsid w:val="00F67172"/>
    <w:rsid w:val="00F6720B"/>
    <w:rsid w:val="00F747C2"/>
    <w:rsid w:val="00F74EC3"/>
    <w:rsid w:val="00F80681"/>
    <w:rsid w:val="00F93762"/>
    <w:rsid w:val="00FA149B"/>
    <w:rsid w:val="00FA7254"/>
    <w:rsid w:val="00FB4303"/>
    <w:rsid w:val="00FB7AFA"/>
    <w:rsid w:val="00FC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7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E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B7E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D5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e-IN"/>
    </w:rPr>
  </w:style>
  <w:style w:type="character" w:customStyle="1" w:styleId="HTML0">
    <w:name w:val="Стандартный HTML Знак"/>
    <w:basedOn w:val="a0"/>
    <w:link w:val="HTML"/>
    <w:uiPriority w:val="99"/>
    <w:rsid w:val="002D55FA"/>
    <w:rPr>
      <w:rFonts w:ascii="Courier New" w:eastAsia="Times New Roman" w:hAnsi="Courier New" w:cs="Courier New"/>
      <w:sz w:val="20"/>
      <w:szCs w:val="20"/>
      <w:lang w:eastAsia="ru-RU" w:bidi="te-IN"/>
    </w:rPr>
  </w:style>
  <w:style w:type="character" w:styleId="a5">
    <w:name w:val="Hyperlink"/>
    <w:basedOn w:val="a0"/>
    <w:uiPriority w:val="99"/>
    <w:rsid w:val="002D55F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D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F0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07DC3"/>
    <w:rPr>
      <w:b/>
      <w:bCs/>
    </w:rPr>
  </w:style>
  <w:style w:type="paragraph" w:customStyle="1" w:styleId="Default">
    <w:name w:val="Default"/>
    <w:rsid w:val="00B91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E8335E"/>
    <w:rPr>
      <w:color w:val="808080"/>
    </w:rPr>
  </w:style>
  <w:style w:type="paragraph" w:styleId="ab">
    <w:name w:val="header"/>
    <w:basedOn w:val="a"/>
    <w:link w:val="ac"/>
    <w:uiPriority w:val="99"/>
    <w:unhideWhenUsed/>
    <w:rsid w:val="00B2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221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E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E607B"/>
    <w:rPr>
      <w:rFonts w:eastAsiaTheme="minorEastAsia"/>
      <w:lang w:eastAsia="ru-RU"/>
    </w:rPr>
  </w:style>
  <w:style w:type="character" w:styleId="af">
    <w:name w:val="page number"/>
    <w:basedOn w:val="a0"/>
    <w:rsid w:val="00A8695F"/>
  </w:style>
  <w:style w:type="character" w:customStyle="1" w:styleId="apple-converted-space">
    <w:name w:val="apple-converted-space"/>
    <w:basedOn w:val="a0"/>
    <w:rsid w:val="00CB55C8"/>
  </w:style>
  <w:style w:type="character" w:customStyle="1" w:styleId="hps">
    <w:name w:val="hps"/>
    <w:basedOn w:val="a0"/>
    <w:rsid w:val="002510E5"/>
  </w:style>
  <w:style w:type="character" w:customStyle="1" w:styleId="30">
    <w:name w:val="Заголовок 3 Знак"/>
    <w:basedOn w:val="a0"/>
    <w:link w:val="3"/>
    <w:uiPriority w:val="9"/>
    <w:rsid w:val="00A17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2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56E4-60E8-4CA8-B4C7-CDC451AD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2016-11-20T09:14:00Z</cp:lastPrinted>
  <dcterms:created xsi:type="dcterms:W3CDTF">2019-03-28T16:16:00Z</dcterms:created>
  <dcterms:modified xsi:type="dcterms:W3CDTF">2019-03-29T09:38:00Z</dcterms:modified>
</cp:coreProperties>
</file>