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42" w:rsidRPr="00945847" w:rsidRDefault="0044511E" w:rsidP="00CD13CA">
      <w:pPr>
        <w:ind w:right="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>УКР</w:t>
      </w:r>
    </w:p>
    <w:p w:rsidR="00AA5442" w:rsidRPr="00945847" w:rsidRDefault="00AA5442" w:rsidP="00CD13CA">
      <w:pPr>
        <w:ind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AA5442" w:rsidRPr="00945847" w:rsidRDefault="007F261D" w:rsidP="00CD13CA">
      <w:pPr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КОМПЛЕКТ КРОВОПРОВІДНИХ МАГІСТРАЛЕЙ ДЛЯ ГЕМОДІАЛІЗУ</w:t>
      </w:r>
    </w:p>
    <w:p w:rsidR="00AA5442" w:rsidRPr="00945847" w:rsidRDefault="007F261D" w:rsidP="00CD13CA">
      <w:pPr>
        <w:ind w:right="5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>(інструкції з використання)</w:t>
      </w:r>
    </w:p>
    <w:p w:rsidR="00AA5442" w:rsidRPr="00945847" w:rsidRDefault="007F261D" w:rsidP="00CD13CA">
      <w:pPr>
        <w:pStyle w:val="4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4584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Перед використанням уважно читати ці інструкції</w:t>
      </w:r>
      <w:r w:rsidR="00293FCB" w:rsidRPr="0094584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A5442" w:rsidRPr="00945847" w:rsidRDefault="00293FCB" w:rsidP="00CD13CA">
      <w:pPr>
        <w:ind w:right="5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7F261D"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>Артеріальна магістраль: червона</w:t>
      </w:r>
      <w:r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F261D"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>Венозна магістраль</w:t>
      </w:r>
      <w:r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7F261D"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>блакитна</w:t>
      </w:r>
      <w:r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AA5442" w:rsidRPr="00945847" w:rsidRDefault="00AA5442" w:rsidP="00CD13CA">
      <w:pPr>
        <w:ind w:right="57"/>
        <w:rPr>
          <w:rFonts w:ascii="Times New Roman" w:hAnsi="Times New Roman" w:cs="Times New Roman"/>
          <w:sz w:val="24"/>
          <w:szCs w:val="24"/>
          <w:lang w:val="uk-UA"/>
        </w:rPr>
      </w:pPr>
    </w:p>
    <w:p w:rsidR="00CD13CA" w:rsidRPr="00945847" w:rsidRDefault="007F261D" w:rsidP="00CD13CA">
      <w:pPr>
        <w:tabs>
          <w:tab w:val="left" w:pos="404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Інструкції з використання</w:t>
      </w:r>
    </w:p>
    <w:p w:rsidR="00CD13CA" w:rsidRPr="00945847" w:rsidRDefault="005F1EEB" w:rsidP="00CD13CA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>Встановити діалізатор і комплект кровопровідних магістралей згідно з інструкціями, що додаються до діалізатора і комплекту кровопровідних магістралей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3CA" w:rsidRPr="00945847" w:rsidRDefault="007F261D" w:rsidP="007F261D">
      <w:pPr>
        <w:pStyle w:val="a3"/>
        <w:tabs>
          <w:tab w:val="left" w:pos="49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Зняти захисний пластиковий пакет з комплекту кровопровідних магістралей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і приєднати  артеріальну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червону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і венозну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блакитну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магістралі до насосу крові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моніторингового обладнання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1EEB" w:rsidRPr="00945847">
        <w:rPr>
          <w:rFonts w:ascii="Times New Roman" w:hAnsi="Times New Roman" w:cs="Times New Roman"/>
          <w:sz w:val="24"/>
          <w:szCs w:val="24"/>
          <w:lang w:val="uk-UA"/>
        </w:rPr>
        <w:t>діалізного апарата і діалізатора. Впевнитися, що сегмент насосу не перекручений або перетиснений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3CA" w:rsidRPr="00945847" w:rsidRDefault="007F261D" w:rsidP="007F261D">
      <w:pPr>
        <w:pStyle w:val="a3"/>
        <w:tabs>
          <w:tab w:val="left" w:pos="49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З’єднати контрольні магістралі з датчиками тиску із використанням протекторів </w:t>
      </w:r>
      <w:proofErr w:type="spellStart"/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>трансдюсера</w:t>
      </w:r>
      <w:proofErr w:type="spellEnd"/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>або вставити артеріальну подушку в датчик артеріального тиску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tabs>
          <w:tab w:val="left" w:pos="49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>Перед продовженням установки впевнитися в безпечності і надійності всіх з’єднань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D13CA" w:rsidRPr="00945847" w:rsidRDefault="007F261D" w:rsidP="007F261D">
      <w:pPr>
        <w:pStyle w:val="a3"/>
        <w:tabs>
          <w:tab w:val="left" w:pos="49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>Вставити уловлювач бульбашок або магістраль в детектор повітря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tabs>
          <w:tab w:val="left" w:pos="48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>Заповнити систему відповідно до інструкції виробника з діалізатору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tabs>
          <w:tab w:val="left" w:pos="48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>За допомогою стерильного шприц</w:t>
      </w:r>
      <w:r w:rsidR="00AB31BC" w:rsidRPr="0094584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07A6" w:rsidRPr="00945847">
        <w:rPr>
          <w:rFonts w:ascii="Times New Roman" w:hAnsi="Times New Roman" w:cs="Times New Roman"/>
          <w:sz w:val="24"/>
          <w:szCs w:val="24"/>
          <w:lang w:val="uk-UA"/>
        </w:rPr>
        <w:t>, приєднаного до лінії регулювання рівня</w:t>
      </w:r>
      <w:r w:rsidR="00AB31BC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відрегулювати рівні крапельної камери до 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3/4 </w:t>
      </w:r>
      <w:r w:rsidR="00AB31BC" w:rsidRPr="00945847">
        <w:rPr>
          <w:rFonts w:ascii="Times New Roman" w:hAnsi="Times New Roman" w:cs="Times New Roman"/>
          <w:sz w:val="24"/>
          <w:szCs w:val="24"/>
          <w:lang w:val="uk-UA"/>
        </w:rPr>
        <w:t>або напрямної лінії камери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D13CA" w:rsidRPr="00945847" w:rsidRDefault="007F261D" w:rsidP="007F261D">
      <w:pPr>
        <w:pStyle w:val="a3"/>
        <w:tabs>
          <w:tab w:val="left" w:pos="48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AB31BC" w:rsidRPr="00945847">
        <w:rPr>
          <w:rFonts w:ascii="Times New Roman" w:hAnsi="Times New Roman" w:cs="Times New Roman"/>
          <w:sz w:val="24"/>
          <w:szCs w:val="24"/>
          <w:lang w:val="uk-UA"/>
        </w:rPr>
        <w:t>Уважно перевірити комплект кровопровідних магістралей і впевнитися, що всі з’єднання є безпечними та в кровопровідних магістралях немає протікань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3CA" w:rsidRPr="00945847" w:rsidRDefault="007F261D" w:rsidP="00CD13CA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AB31BC" w:rsidRPr="00945847">
        <w:rPr>
          <w:rFonts w:ascii="Times New Roman" w:hAnsi="Times New Roman" w:cs="Times New Roman"/>
          <w:sz w:val="24"/>
          <w:szCs w:val="24"/>
          <w:lang w:val="uk-UA"/>
        </w:rPr>
        <w:t>Розпочати діаліз відповідно до інструкцій виробника з діалізатору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B31BC" w:rsidRPr="00945847">
        <w:rPr>
          <w:rFonts w:ascii="Times New Roman" w:hAnsi="Times New Roman" w:cs="Times New Roman"/>
          <w:sz w:val="24"/>
          <w:szCs w:val="24"/>
          <w:lang w:val="uk-UA"/>
        </w:rPr>
        <w:t>обладнання і системи подачі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hAnsi="Times New Roman" w:cs="Times New Roman"/>
          <w:b/>
          <w:sz w:val="28"/>
          <w:szCs w:val="28"/>
          <w:lang w:val="uk-UA"/>
        </w:rPr>
        <w:t>ІІ. Попередження і застереження</w:t>
      </w:r>
    </w:p>
    <w:p w:rsidR="00CD13CA" w:rsidRPr="00945847" w:rsidRDefault="007F261D" w:rsidP="007F261D">
      <w:pPr>
        <w:pStyle w:val="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53E97" w:rsidRPr="00945847">
        <w:rPr>
          <w:rFonts w:ascii="Times New Roman" w:hAnsi="Times New Roman" w:cs="Times New Roman"/>
          <w:sz w:val="24"/>
          <w:szCs w:val="24"/>
          <w:lang w:val="uk-UA"/>
        </w:rPr>
        <w:t>Цей комплект кровопровідних магістралей призначений тільки для одноразового використання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3E97" w:rsidRPr="00945847">
        <w:rPr>
          <w:rFonts w:ascii="Times New Roman" w:hAnsi="Times New Roman" w:cs="Times New Roman"/>
          <w:sz w:val="24"/>
          <w:szCs w:val="24"/>
          <w:lang w:val="uk-UA"/>
        </w:rPr>
        <w:t>Не використовувати повторно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153E97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>*Повторне використання або обробка одноразового виробу може призвести до забруднення і невірного функціонування виробу або порушення структурної цілісності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53E97" w:rsidRPr="00945847">
        <w:rPr>
          <w:rFonts w:ascii="Times New Roman" w:hAnsi="Times New Roman" w:cs="Times New Roman"/>
          <w:sz w:val="24"/>
          <w:szCs w:val="24"/>
          <w:lang w:val="uk-UA"/>
        </w:rPr>
        <w:t>Не використовувати при пошкодження упаковки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53E97" w:rsidRPr="00945847">
        <w:rPr>
          <w:rFonts w:ascii="Times New Roman" w:hAnsi="Times New Roman" w:cs="Times New Roman"/>
          <w:sz w:val="24"/>
          <w:szCs w:val="24"/>
          <w:lang w:val="uk-UA"/>
        </w:rPr>
        <w:t>Під час установки і використання дотримуватися техніки асептики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E2CE8" w:rsidRPr="00945847">
        <w:rPr>
          <w:rFonts w:ascii="Times New Roman" w:hAnsi="Times New Roman" w:cs="Times New Roman"/>
          <w:sz w:val="24"/>
          <w:szCs w:val="24"/>
          <w:lang w:val="uk-UA"/>
        </w:rPr>
        <w:t>Для забезпечення відповідного стану виробу для використання необхідно провести його перевірку до використання та забезпечити постійний контроль під час процедури діалізу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1E2CE8" w:rsidRPr="00945847">
        <w:rPr>
          <w:rFonts w:ascii="Times New Roman" w:hAnsi="Times New Roman" w:cs="Times New Roman"/>
          <w:sz w:val="24"/>
          <w:szCs w:val="24"/>
          <w:lang w:val="uk-UA"/>
        </w:rPr>
        <w:t>Потрапляння повітря в контур крові може спричинити смертельну повітряну емболію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2CE8" w:rsidRPr="00945847">
        <w:rPr>
          <w:rFonts w:ascii="Times New Roman" w:hAnsi="Times New Roman" w:cs="Times New Roman"/>
          <w:sz w:val="24"/>
          <w:szCs w:val="24"/>
          <w:lang w:val="uk-UA"/>
        </w:rPr>
        <w:t>Рекомендується використовувати детектор повітря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E2CE8" w:rsidRPr="00945847">
        <w:rPr>
          <w:rFonts w:ascii="Times New Roman" w:hAnsi="Times New Roman" w:cs="Times New Roman"/>
          <w:sz w:val="24"/>
          <w:szCs w:val="24"/>
          <w:lang w:val="uk-UA"/>
        </w:rPr>
        <w:t>і в будь-</w:t>
      </w:r>
      <w:r w:rsidR="00945847" w:rsidRPr="0094584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E2CE8" w:rsidRPr="00945847">
        <w:rPr>
          <w:rFonts w:ascii="Times New Roman" w:hAnsi="Times New Roman" w:cs="Times New Roman"/>
          <w:sz w:val="24"/>
          <w:szCs w:val="24"/>
          <w:lang w:val="uk-UA"/>
        </w:rPr>
        <w:t>кому випадку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E2CE8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 w:rsidR="00945847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контролювати відповідний рівень крові в уловлювачі бульбашок 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заповнений не мен</w:t>
      </w:r>
      <w:r w:rsidR="00945847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ш ніж на 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3/4 </w:t>
      </w:r>
      <w:r w:rsidR="00945847" w:rsidRPr="00945847">
        <w:rPr>
          <w:rFonts w:ascii="Times New Roman" w:hAnsi="Times New Roman" w:cs="Times New Roman"/>
          <w:sz w:val="24"/>
          <w:szCs w:val="24"/>
          <w:lang w:val="uk-UA"/>
        </w:rPr>
        <w:t>або по напрямну лінію крапельної камери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1E2CE8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261D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Протікання в місцях з</w:t>
      </w:r>
      <w:r w:rsidR="00945847" w:rsidRPr="009E2F1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єднань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підключень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або в будь-якому місці екстракорпорального контуру, може спричинити втрату крові, або повітряну емболію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Уважно перевірити відсутність протікань перед і під час процедури та за необхідності застосувати виправні міри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Під час процедури уникати перекручування або перетискання магістралей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 xml:space="preserve"> Надмірний тиск може пошкодити екстракорпоральний контур або місце доступу крові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чи може спричинити порушення з</w:t>
      </w:r>
      <w:r w:rsidR="00945847" w:rsidRPr="0094584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єднань та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45847">
        <w:rPr>
          <w:rFonts w:ascii="Times New Roman" w:hAnsi="Times New Roman" w:cs="Times New Roman"/>
          <w:sz w:val="24"/>
          <w:szCs w:val="24"/>
          <w:lang w:val="uk-UA"/>
        </w:rPr>
        <w:t>або втрату крові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D13CA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5477ED">
        <w:rPr>
          <w:rFonts w:ascii="Times New Roman" w:hAnsi="Times New Roman" w:cs="Times New Roman"/>
          <w:sz w:val="24"/>
          <w:szCs w:val="24"/>
          <w:lang w:val="uk-UA"/>
        </w:rPr>
        <w:t>Уникати рідин  в контрольних магістралях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3CA" w:rsidRPr="00945847" w:rsidRDefault="00CD13CA" w:rsidP="00CD13CA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7F261D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FF3">
        <w:rPr>
          <w:rFonts w:ascii="Times New Roman" w:hAnsi="Times New Roman" w:cs="Times New Roman"/>
          <w:sz w:val="24"/>
          <w:szCs w:val="24"/>
          <w:lang w:val="uk-UA"/>
        </w:rPr>
        <w:t>Утримувати лінію інфузії затиснутою, окрім випадків введення розчину</w:t>
      </w:r>
      <w:r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61D" w:rsidRPr="00945847" w:rsidRDefault="007F261D" w:rsidP="00CD13CA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9D51E4">
        <w:rPr>
          <w:rFonts w:ascii="Times New Roman" w:hAnsi="Times New Roman" w:cs="Times New Roman"/>
          <w:sz w:val="24"/>
          <w:szCs w:val="24"/>
          <w:lang w:val="uk-UA"/>
        </w:rPr>
        <w:t>Зубчасті металеві затискачі можуть порізати або порвати лінії гепарину, тому їх не слід використовувати з цим комплектом кровопровідних магістралей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F261D" w:rsidRPr="00945847" w:rsidRDefault="007F261D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9D51E4">
        <w:rPr>
          <w:rFonts w:ascii="Times New Roman" w:hAnsi="Times New Roman" w:cs="Times New Roman"/>
          <w:sz w:val="24"/>
          <w:szCs w:val="24"/>
          <w:lang w:val="uk-UA"/>
        </w:rPr>
        <w:t>Утримувати лінії регулювання рівня затиснутими, окрім випадків, коли необхідно врегулювати рівень крапельної камери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B72" w:rsidRPr="00945847" w:rsidRDefault="007F261D" w:rsidP="00022B72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9D51E4">
        <w:rPr>
          <w:rFonts w:ascii="Times New Roman" w:hAnsi="Times New Roman" w:cs="Times New Roman"/>
          <w:sz w:val="24"/>
          <w:szCs w:val="24"/>
          <w:lang w:val="uk-UA"/>
        </w:rPr>
        <w:t>Пристрої судинного доступу і конектори можуть трохи різнитися через різних виробників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51E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502DC2">
        <w:rPr>
          <w:rFonts w:ascii="Times New Roman" w:hAnsi="Times New Roman" w:cs="Times New Roman"/>
          <w:sz w:val="24"/>
          <w:szCs w:val="24"/>
          <w:lang w:val="uk-UA"/>
        </w:rPr>
        <w:t>впевненості перевірити, що судинний доступ, який використовується, безпечно розміщений і підключений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2DC2">
        <w:rPr>
          <w:rFonts w:ascii="Times New Roman" w:hAnsi="Times New Roman" w:cs="Times New Roman"/>
          <w:sz w:val="24"/>
          <w:szCs w:val="24"/>
          <w:lang w:val="uk-UA"/>
        </w:rPr>
        <w:t>Недостатня надійність конекторів може призвести до серйозної втрати крові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D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02DC2">
        <w:rPr>
          <w:rFonts w:ascii="Times New Roman" w:hAnsi="Times New Roman" w:cs="Times New Roman"/>
          <w:sz w:val="24"/>
          <w:szCs w:val="24"/>
          <w:lang w:val="uk-UA"/>
        </w:rPr>
        <w:t>або повітряної емболії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B72" w:rsidRPr="00945847" w:rsidRDefault="00022B72" w:rsidP="00022B72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13. </w:t>
      </w:r>
      <w:r w:rsidR="006B4A2E">
        <w:rPr>
          <w:rFonts w:ascii="Times New Roman" w:hAnsi="Times New Roman" w:cs="Times New Roman"/>
          <w:sz w:val="24"/>
          <w:szCs w:val="24"/>
          <w:lang w:val="uk-UA"/>
        </w:rPr>
        <w:t>Для забору зразків крові не використовувати голок більше ніж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r w:rsidR="006B4A2E">
        <w:rPr>
          <w:rFonts w:ascii="Times New Roman" w:hAnsi="Times New Roman" w:cs="Times New Roman"/>
          <w:sz w:val="24"/>
          <w:szCs w:val="24"/>
          <w:lang w:val="uk-UA"/>
        </w:rPr>
        <w:t>розміру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22B72" w:rsidRPr="00945847" w:rsidRDefault="00022B72" w:rsidP="00022B72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6B4A2E">
        <w:rPr>
          <w:rFonts w:ascii="Times New Roman" w:hAnsi="Times New Roman" w:cs="Times New Roman"/>
          <w:sz w:val="24"/>
          <w:szCs w:val="24"/>
          <w:lang w:val="uk-UA"/>
        </w:rPr>
        <w:t>Впевнитися у надійності і безпечності всіх з</w:t>
      </w:r>
      <w:r w:rsidR="006B4A2E" w:rsidRPr="009E2F1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B4A2E">
        <w:rPr>
          <w:rFonts w:ascii="Times New Roman" w:hAnsi="Times New Roman" w:cs="Times New Roman"/>
          <w:sz w:val="24"/>
          <w:szCs w:val="24"/>
          <w:lang w:val="uk-UA"/>
        </w:rPr>
        <w:t>єднань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B72" w:rsidRPr="00945847" w:rsidRDefault="00022B72" w:rsidP="00022B72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0E4E51">
        <w:rPr>
          <w:rFonts w:ascii="Times New Roman" w:hAnsi="Times New Roman" w:cs="Times New Roman"/>
          <w:sz w:val="24"/>
          <w:szCs w:val="24"/>
          <w:lang w:val="uk-UA"/>
        </w:rPr>
        <w:t xml:space="preserve">Перед самою пункцією ретельно дезінфікувати місце проколу 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E4E51">
        <w:rPr>
          <w:rFonts w:ascii="Times New Roman" w:hAnsi="Times New Roman" w:cs="Times New Roman"/>
          <w:sz w:val="24"/>
          <w:szCs w:val="24"/>
          <w:lang w:val="uk-UA"/>
        </w:rPr>
        <w:t xml:space="preserve">область </w:t>
      </w:r>
      <w:proofErr w:type="spellStart"/>
      <w:r w:rsidR="000E4E51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="000E4E51" w:rsidRPr="009E2F1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0E4E51">
        <w:rPr>
          <w:rFonts w:ascii="Times New Roman" w:hAnsi="Times New Roman" w:cs="Times New Roman"/>
          <w:sz w:val="24"/>
          <w:szCs w:val="24"/>
          <w:lang w:val="uk-UA"/>
        </w:rPr>
        <w:t>єкції</w:t>
      </w:r>
      <w:proofErr w:type="spellEnd"/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CD13CA" w:rsidRPr="00945847" w:rsidRDefault="00022B72" w:rsidP="00022B72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0E4E51">
        <w:rPr>
          <w:rFonts w:ascii="Times New Roman" w:hAnsi="Times New Roman" w:cs="Times New Roman"/>
          <w:sz w:val="24"/>
          <w:szCs w:val="24"/>
          <w:lang w:val="uk-UA"/>
        </w:rPr>
        <w:t>Не зберігати за умов надмірної температури і вологості</w:t>
      </w:r>
      <w:r w:rsidR="00CD13CA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442" w:rsidRPr="00945847" w:rsidRDefault="00293FCB" w:rsidP="00624521">
      <w:pPr>
        <w:tabs>
          <w:tab w:val="left" w:pos="1379"/>
        </w:tabs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945847">
        <w:rPr>
          <w:rFonts w:ascii="Times New Roman" w:eastAsia="Arial" w:hAnsi="Times New Roman" w:cs="Times New Roman"/>
          <w:sz w:val="24"/>
          <w:szCs w:val="24"/>
          <w:lang w:val="uk-UA"/>
        </w:rPr>
        <w:t>17</w:t>
      </w:r>
      <w:r w:rsidR="00022B72" w:rsidRPr="0094584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</w:t>
      </w:r>
      <w:r w:rsidR="0062452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Цей виріб містить </w:t>
      </w:r>
      <w:proofErr w:type="spellStart"/>
      <w:r w:rsidR="00624521">
        <w:rPr>
          <w:rFonts w:ascii="Times New Roman" w:eastAsia="Arial" w:hAnsi="Times New Roman" w:cs="Times New Roman"/>
          <w:sz w:val="24"/>
          <w:szCs w:val="24"/>
          <w:lang w:val="uk-UA"/>
        </w:rPr>
        <w:t>фталат</w:t>
      </w:r>
      <w:proofErr w:type="spellEnd"/>
      <w:r w:rsidRPr="00945847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. </w:t>
      </w:r>
      <w:r w:rsidR="0062452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Не існує кінцевих та підтверджених наукових даних, що вплив </w:t>
      </w:r>
      <w:proofErr w:type="spellStart"/>
      <w:r w:rsidR="00624521">
        <w:rPr>
          <w:rFonts w:ascii="Times New Roman" w:eastAsia="Arial" w:hAnsi="Times New Roman" w:cs="Times New Roman"/>
          <w:sz w:val="24"/>
          <w:szCs w:val="24"/>
          <w:lang w:val="uk-UA"/>
        </w:rPr>
        <w:t>фталату</w:t>
      </w:r>
      <w:proofErr w:type="spellEnd"/>
      <w:r w:rsidR="0062452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на людину через медичні процедури має шкідливі наслідки. Рівень впливу на пацієнтів може збільшитися при багаторазових або подовжених медичних процедурах. </w:t>
      </w:r>
    </w:p>
    <w:p w:rsidR="007F261D" w:rsidRPr="00945847" w:rsidRDefault="00293FCB" w:rsidP="007F261D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Особливу увагу слід приділяти потенційно чутким пацієнтам</w:t>
      </w: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таким як діти</w:t>
      </w: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годувальниці або вагітні жінки</w:t>
      </w:r>
      <w:r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442" w:rsidRPr="00945847" w:rsidRDefault="007F261D" w:rsidP="007F261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EA3BB6" w:rsidRPr="00945847">
        <w:rPr>
          <w:rFonts w:ascii="Times New Roman" w:hAnsi="Times New Roman" w:cs="Times New Roman"/>
          <w:b/>
          <w:sz w:val="28"/>
          <w:szCs w:val="28"/>
          <w:lang w:val="uk-UA"/>
        </w:rPr>
        <w:t>Показання</w:t>
      </w:r>
    </w:p>
    <w:p w:rsidR="00AA5442" w:rsidRPr="00945847" w:rsidRDefault="009E2F16" w:rsidP="00CD13CA">
      <w:pPr>
        <w:pStyle w:val="a3"/>
        <w:ind w:left="0" w:hanging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Цей комплект кровопровідних магістралей призначений для використання під час гемодіалізу для забезпечення доступу до крові пацієнта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При використанні в гемодіалізі він є частиною системи штучної нирки для лікування пацієнтів з нирковою недостатністю або за умов інтоксикації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Сумісність доступних конфігурацій є відповідальністю вповноваженого терапевта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442" w:rsidRPr="00945847" w:rsidRDefault="007F261D" w:rsidP="00CD13CA">
      <w:pPr>
        <w:pStyle w:val="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="00EA3BB6" w:rsidRPr="00945847">
        <w:rPr>
          <w:rFonts w:ascii="Times New Roman" w:hAnsi="Times New Roman" w:cs="Times New Roman"/>
          <w:b/>
          <w:sz w:val="28"/>
          <w:szCs w:val="28"/>
          <w:lang w:val="uk-UA"/>
        </w:rPr>
        <w:t>Протипоказання</w:t>
      </w:r>
    </w:p>
    <w:p w:rsidR="00AA5442" w:rsidRPr="00945847" w:rsidRDefault="00C92953" w:rsidP="001A7FB8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Через те, що цей комплект кровопровідних магістралей не є сам по собі виробом медичного призначення, тому немає абсолютних протипоказань щодо його використання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7FB8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цього комплекту кровопровідних магістралей протипоказано </w:t>
      </w:r>
      <w:r w:rsidR="005071F0">
        <w:rPr>
          <w:rFonts w:ascii="Times New Roman" w:hAnsi="Times New Roman" w:cs="Times New Roman"/>
          <w:sz w:val="24"/>
          <w:szCs w:val="24"/>
          <w:lang w:val="uk-UA"/>
        </w:rPr>
        <w:t>у випадку, якщо він не забезпечує ті необхідні характеристики, які містяться в інструкції з використання діалізного апарата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B72" w:rsidRPr="00945847" w:rsidRDefault="00293FCB" w:rsidP="00022B72">
      <w:pPr>
        <w:pStyle w:val="3"/>
        <w:ind w:left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V.</w:t>
      </w:r>
      <w:r w:rsidR="007F261D" w:rsidRPr="009458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A3BB6" w:rsidRPr="009458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Гарантія</w:t>
      </w:r>
    </w:p>
    <w:p w:rsidR="00022B72" w:rsidRPr="00945847" w:rsidRDefault="00022B72" w:rsidP="00022B72">
      <w:pPr>
        <w:pStyle w:val="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EB56FD">
        <w:rPr>
          <w:rFonts w:ascii="Times New Roman" w:hAnsi="Times New Roman" w:cs="Times New Roman"/>
          <w:sz w:val="24"/>
          <w:szCs w:val="24"/>
          <w:lang w:val="uk-UA"/>
        </w:rPr>
        <w:t>Наш комплект кровопровідних магістралей виробляється під суворим контролем якості, яка гарантується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B56FD">
        <w:rPr>
          <w:rFonts w:ascii="Times New Roman" w:hAnsi="Times New Roman" w:cs="Times New Roman"/>
          <w:sz w:val="24"/>
          <w:szCs w:val="24"/>
          <w:lang w:val="uk-UA"/>
        </w:rPr>
        <w:t>Якщо виявиться будь-який дефект в нашому комплекті кровопровідних магістралей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B56FD">
        <w:rPr>
          <w:rFonts w:ascii="Times New Roman" w:hAnsi="Times New Roman" w:cs="Times New Roman"/>
          <w:sz w:val="24"/>
          <w:szCs w:val="24"/>
          <w:lang w:val="uk-UA"/>
        </w:rPr>
        <w:t>розірвана упаковка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56FD">
        <w:rPr>
          <w:rFonts w:ascii="Times New Roman" w:hAnsi="Times New Roman" w:cs="Times New Roman"/>
          <w:sz w:val="24"/>
          <w:szCs w:val="24"/>
          <w:lang w:val="uk-UA"/>
        </w:rPr>
        <w:t>пошкоджений виріб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EB56FD">
        <w:rPr>
          <w:rFonts w:ascii="Times New Roman" w:hAnsi="Times New Roman" w:cs="Times New Roman"/>
          <w:sz w:val="24"/>
          <w:szCs w:val="24"/>
          <w:lang w:val="uk-UA"/>
        </w:rPr>
        <w:t>ми замінимо його на інший за наш рахунок, але одразу ж після повернення розірваної упаковки або пошкодженого виробу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B56FD">
        <w:rPr>
          <w:rFonts w:ascii="Times New Roman" w:hAnsi="Times New Roman" w:cs="Times New Roman"/>
          <w:sz w:val="24"/>
          <w:szCs w:val="24"/>
          <w:lang w:val="uk-UA"/>
        </w:rPr>
        <w:t xml:space="preserve">Однак, ми не несемо відповідальності за поранення пацієнта або іншої особи, чи пошкодження будь-якого предмету, </w:t>
      </w:r>
      <w:proofErr w:type="spellStart"/>
      <w:r w:rsidR="00EB56FD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="00EB56FD" w:rsidRPr="00EB56F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EB56FD"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 w:rsidR="00EB56FD">
        <w:rPr>
          <w:rFonts w:ascii="Times New Roman" w:hAnsi="Times New Roman" w:cs="Times New Roman"/>
          <w:sz w:val="24"/>
          <w:szCs w:val="24"/>
          <w:lang w:val="uk-UA"/>
        </w:rPr>
        <w:t xml:space="preserve"> з транспортуванням, зберіганням та управлінням виробом у Вашому закладі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B72" w:rsidRPr="00945847" w:rsidRDefault="00022B72" w:rsidP="00022B72">
      <w:pPr>
        <w:pStyle w:val="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1692B">
        <w:rPr>
          <w:rFonts w:ascii="Times New Roman" w:hAnsi="Times New Roman" w:cs="Times New Roman"/>
          <w:sz w:val="24"/>
          <w:szCs w:val="24"/>
          <w:lang w:val="uk-UA"/>
        </w:rPr>
        <w:t>Якщо при використанні нашого комплекту кровопровідних магістралей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92B">
        <w:rPr>
          <w:rFonts w:ascii="Times New Roman" w:hAnsi="Times New Roman" w:cs="Times New Roman"/>
          <w:sz w:val="24"/>
          <w:szCs w:val="24"/>
          <w:lang w:val="uk-UA"/>
        </w:rPr>
        <w:t>будь-який пацієнт або особа були поранені, чи пошкоджений якійсь предмет, ми не будемо нести відповідальність за такі поранення або пошкодження, поки не буде чітко доведена наша вина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2B72" w:rsidRPr="00945847" w:rsidRDefault="00022B72" w:rsidP="00022B72">
      <w:pPr>
        <w:pStyle w:val="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1692B">
        <w:rPr>
          <w:rFonts w:ascii="Times New Roman" w:hAnsi="Times New Roman" w:cs="Times New Roman"/>
          <w:sz w:val="24"/>
          <w:szCs w:val="24"/>
          <w:lang w:val="uk-UA"/>
        </w:rPr>
        <w:t>Якщо пацієнт або інша особа були поранені, чи будь-який предмет був пошкоджений через повторне використання нашого комплекту кровопровідних магістралей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692B">
        <w:rPr>
          <w:rFonts w:ascii="Times New Roman" w:hAnsi="Times New Roman" w:cs="Times New Roman"/>
          <w:sz w:val="24"/>
          <w:szCs w:val="24"/>
          <w:lang w:val="uk-UA"/>
        </w:rPr>
        <w:t xml:space="preserve">ми не будемо нести відповідальність за </w:t>
      </w:r>
      <w:proofErr w:type="spellStart"/>
      <w:r w:rsidR="0051692B">
        <w:rPr>
          <w:rFonts w:ascii="Times New Roman" w:hAnsi="Times New Roman" w:cs="Times New Roman"/>
          <w:sz w:val="24"/>
          <w:szCs w:val="24"/>
          <w:lang w:val="uk-UA"/>
        </w:rPr>
        <w:t>за</w:t>
      </w:r>
      <w:proofErr w:type="spellEnd"/>
      <w:r w:rsidR="0051692B">
        <w:rPr>
          <w:rFonts w:ascii="Times New Roman" w:hAnsi="Times New Roman" w:cs="Times New Roman"/>
          <w:sz w:val="24"/>
          <w:szCs w:val="24"/>
          <w:lang w:val="uk-UA"/>
        </w:rPr>
        <w:t xml:space="preserve"> такі поранення або пошкодження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3CA" w:rsidRPr="00945847" w:rsidRDefault="00022B72" w:rsidP="00022B72">
      <w:pPr>
        <w:pStyle w:val="3"/>
        <w:ind w:left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584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1692B">
        <w:rPr>
          <w:rFonts w:ascii="Times New Roman" w:hAnsi="Times New Roman" w:cs="Times New Roman"/>
          <w:sz w:val="24"/>
          <w:szCs w:val="24"/>
          <w:lang w:val="uk-UA"/>
        </w:rPr>
        <w:t>Ми не нестимемо відповідальності за будь-яке поранення або пошкодження, спричинене використанням нашого комплекту кровопровідних магістралей після закінчення терміну придатності, вказаного на упаковці</w:t>
      </w:r>
      <w:r w:rsidR="00293FCB" w:rsidRPr="009458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442" w:rsidRDefault="00267D7F" w:rsidP="00CD13CA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133350</wp:posOffset>
                </wp:positionV>
                <wp:extent cx="2857500" cy="29908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346"/>
                            </w:tblGrid>
                            <w:tr w:rsidR="00267D7F" w:rsidTr="00CD1B35">
                              <w:tc>
                                <w:tcPr>
                                  <w:tcW w:w="846" w:type="dxa"/>
                                </w:tcPr>
                                <w:p w:rsidR="00267D7F" w:rsidRDefault="00267D7F">
                                  <w:r w:rsidRPr="00267D7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0" cy="312420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401" cy="319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C37C2D" w:rsidRDefault="00C37C2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67D7F" w:rsidRDefault="00267D7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Бангладеш</w:t>
                                  </w:r>
                                </w:p>
                                <w:p w:rsidR="00CD1B35" w:rsidRPr="00267D7F" w:rsidRDefault="00CD1B3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267D7F" w:rsidTr="00CD1B35">
                              <w:tc>
                                <w:tcPr>
                                  <w:tcW w:w="846" w:type="dxa"/>
                                </w:tcPr>
                                <w:p w:rsidR="00267D7F" w:rsidRDefault="00267D7F">
                                  <w:r w:rsidRPr="00267D7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7894" cy="209550"/>
                                        <wp:effectExtent l="0" t="0" r="635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8065" cy="2144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C37C2D" w:rsidRDefault="00C37C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267D7F" w:rsidRDefault="00267D7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Бельгія</w:t>
                                  </w:r>
                                </w:p>
                                <w:p w:rsidR="00CD1B35" w:rsidRPr="00267D7F" w:rsidRDefault="00CD1B3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267D7F" w:rsidTr="00CD1B35">
                              <w:tc>
                                <w:tcPr>
                                  <w:tcW w:w="4192" w:type="dxa"/>
                                  <w:gridSpan w:val="2"/>
                                </w:tcPr>
                                <w:p w:rsidR="00267D7F" w:rsidRDefault="00267D7F" w:rsidP="00CD1B3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Дистриб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ютор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:</w:t>
                                  </w:r>
                                </w:p>
                                <w:p w:rsidR="00267D7F" w:rsidRDefault="00267D7F" w:rsidP="00CD1B3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США</w:t>
                                  </w:r>
                                </w:p>
                                <w:p w:rsidR="00CD1B35" w:rsidRPr="00267D7F" w:rsidRDefault="00CD1B35" w:rsidP="00CD1B3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267D7F" w:rsidTr="00CD1B35">
                              <w:tc>
                                <w:tcPr>
                                  <w:tcW w:w="4192" w:type="dxa"/>
                                  <w:gridSpan w:val="2"/>
                                </w:tcPr>
                                <w:p w:rsidR="00267D7F" w:rsidRDefault="00267D7F" w:rsidP="00CD1B3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Дистриб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ютор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в Австралії:</w:t>
                                  </w:r>
                                </w:p>
                                <w:p w:rsidR="00CD1B35" w:rsidRPr="00CD1B35" w:rsidRDefault="00CD1B35" w:rsidP="00C37C2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7D7F" w:rsidTr="00CD1B35">
                              <w:tc>
                                <w:tcPr>
                                  <w:tcW w:w="4192" w:type="dxa"/>
                                  <w:gridSpan w:val="2"/>
                                </w:tcPr>
                                <w:p w:rsidR="00267D7F" w:rsidRDefault="00267D7F" w:rsidP="00CD1B3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ВИГОТОВЛЕНО В БАНГЛАДЕШ</w:t>
                                  </w:r>
                                </w:p>
                                <w:p w:rsidR="00CD1B35" w:rsidRPr="00267D7F" w:rsidRDefault="00CD1B35" w:rsidP="00CD1B3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267D7F" w:rsidTr="00CD1B35">
                              <w:tc>
                                <w:tcPr>
                                  <w:tcW w:w="846" w:type="dxa"/>
                                </w:tcPr>
                                <w:p w:rsidR="00267D7F" w:rsidRDefault="00267D7F">
                                  <w:r w:rsidRPr="00267D7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237490"/>
                                        <wp:effectExtent l="0" t="0" r="9525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9683" cy="240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267D7F" w:rsidRPr="00267D7F" w:rsidRDefault="00267D7F" w:rsidP="00CD1B3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267D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-01</w:t>
                                  </w:r>
                                </w:p>
                              </w:tc>
                            </w:tr>
                          </w:tbl>
                          <w:p w:rsidR="00267D7F" w:rsidRDefault="00267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.2pt;margin-top:10.5pt;width:225pt;height:23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346"/>
                      </w:tblGrid>
                      <w:tr w:rsidR="00267D7F" w:rsidTr="00CD1B35">
                        <w:tc>
                          <w:tcPr>
                            <w:tcW w:w="846" w:type="dxa"/>
                          </w:tcPr>
                          <w:p w:rsidR="00267D7F" w:rsidRDefault="00267D7F">
                            <w:r w:rsidRPr="00267D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1242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401" cy="319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C37C2D" w:rsidRDefault="00C37C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67D7F" w:rsidRDefault="00267D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Бангладеш</w:t>
                            </w:r>
                          </w:p>
                          <w:p w:rsidR="00CD1B35" w:rsidRPr="00267D7F" w:rsidRDefault="00CD1B3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c>
                      </w:tr>
                      <w:tr w:rsidR="00267D7F" w:rsidTr="00CD1B35">
                        <w:tc>
                          <w:tcPr>
                            <w:tcW w:w="846" w:type="dxa"/>
                          </w:tcPr>
                          <w:p w:rsidR="00267D7F" w:rsidRDefault="00267D7F">
                            <w:r w:rsidRPr="00267D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7894" cy="209550"/>
                                  <wp:effectExtent l="0" t="0" r="63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065" cy="214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C37C2D" w:rsidRDefault="00C37C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267D7F" w:rsidRDefault="00267D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Бельгія</w:t>
                            </w:r>
                          </w:p>
                          <w:p w:rsidR="00CD1B35" w:rsidRPr="00267D7F" w:rsidRDefault="00CD1B3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c>
                      </w:tr>
                      <w:tr w:rsidR="00267D7F" w:rsidTr="00CD1B35">
                        <w:tc>
                          <w:tcPr>
                            <w:tcW w:w="4192" w:type="dxa"/>
                            <w:gridSpan w:val="2"/>
                          </w:tcPr>
                          <w:p w:rsidR="00267D7F" w:rsidRDefault="00267D7F" w:rsidP="00CD1B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Дистриб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ютор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267D7F" w:rsidRDefault="00267D7F" w:rsidP="00CD1B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США</w:t>
                            </w:r>
                          </w:p>
                          <w:p w:rsidR="00CD1B35" w:rsidRPr="00267D7F" w:rsidRDefault="00CD1B35" w:rsidP="00CD1B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c>
                      </w:tr>
                      <w:tr w:rsidR="00267D7F" w:rsidTr="00CD1B35">
                        <w:tc>
                          <w:tcPr>
                            <w:tcW w:w="4192" w:type="dxa"/>
                            <w:gridSpan w:val="2"/>
                          </w:tcPr>
                          <w:p w:rsidR="00267D7F" w:rsidRDefault="00267D7F" w:rsidP="00CD1B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Дистриб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ютор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в Австралії:</w:t>
                            </w:r>
                          </w:p>
                          <w:p w:rsidR="00CD1B35" w:rsidRPr="00CD1B35" w:rsidRDefault="00CD1B35" w:rsidP="00C37C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7D7F" w:rsidTr="00CD1B35">
                        <w:tc>
                          <w:tcPr>
                            <w:tcW w:w="4192" w:type="dxa"/>
                            <w:gridSpan w:val="2"/>
                          </w:tcPr>
                          <w:p w:rsidR="00267D7F" w:rsidRDefault="00267D7F" w:rsidP="00CD1B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ВИГОТОВЛЕНО В БАНГЛАДЕШ</w:t>
                            </w:r>
                          </w:p>
                          <w:p w:rsidR="00CD1B35" w:rsidRPr="00267D7F" w:rsidRDefault="00CD1B35" w:rsidP="00CD1B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c>
                      </w:tr>
                      <w:tr w:rsidR="00267D7F" w:rsidTr="00CD1B35">
                        <w:tc>
                          <w:tcPr>
                            <w:tcW w:w="846" w:type="dxa"/>
                          </w:tcPr>
                          <w:p w:rsidR="00267D7F" w:rsidRDefault="00267D7F">
                            <w:r w:rsidRPr="00267D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237490"/>
                                  <wp:effectExtent l="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683" cy="240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267D7F" w:rsidRPr="00267D7F" w:rsidRDefault="00267D7F" w:rsidP="00CD1B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267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-01</w:t>
                            </w:r>
                          </w:p>
                        </w:tc>
                      </w:tr>
                    </w:tbl>
                    <w:p w:rsidR="00267D7F" w:rsidRDefault="00267D7F"/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46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446"/>
      </w:tblGrid>
      <w:tr w:rsidR="00D87190" w:rsidTr="00AA3165">
        <w:tc>
          <w:tcPr>
            <w:tcW w:w="5297" w:type="dxa"/>
            <w:gridSpan w:val="2"/>
            <w:shd w:val="clear" w:color="auto" w:fill="auto"/>
          </w:tcPr>
          <w:p w:rsidR="00D87190" w:rsidRDefault="00D87190" w:rsidP="00D8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Символи, що використовуються на етикетці</w:t>
            </w:r>
          </w:p>
          <w:p w:rsidR="00AA3165" w:rsidRPr="00AA3165" w:rsidRDefault="00AA3165" w:rsidP="00D871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A3165" w:rsidTr="00AA3165">
        <w:tc>
          <w:tcPr>
            <w:tcW w:w="851" w:type="dxa"/>
          </w:tcPr>
          <w:p w:rsidR="00D87190" w:rsidRDefault="00AA3165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229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9" cy="21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D87190" w:rsidRDefault="00D87190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Дивитися Інструкції з використання</w:t>
            </w:r>
          </w:p>
        </w:tc>
      </w:tr>
      <w:tr w:rsidR="00AA3165" w:rsidTr="00AA3165">
        <w:tc>
          <w:tcPr>
            <w:tcW w:w="851" w:type="dxa"/>
          </w:tcPr>
          <w:p w:rsidR="00D87190" w:rsidRDefault="00AA3165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95" cy="24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D87190" w:rsidRDefault="00D87190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Тільки для одноразового використання</w:t>
            </w:r>
          </w:p>
        </w:tc>
      </w:tr>
      <w:tr w:rsidR="00AA3165" w:rsidTr="00AA3165">
        <w:tc>
          <w:tcPr>
            <w:tcW w:w="851" w:type="dxa"/>
          </w:tcPr>
          <w:p w:rsidR="00D87190" w:rsidRDefault="00AA3165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5082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92" cy="25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D87190" w:rsidRDefault="00D87190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Апірогенний</w:t>
            </w:r>
          </w:p>
        </w:tc>
      </w:tr>
      <w:tr w:rsidR="00AA3165" w:rsidTr="00AA3165">
        <w:tc>
          <w:tcPr>
            <w:tcW w:w="851" w:type="dxa"/>
          </w:tcPr>
          <w:p w:rsidR="00D87190" w:rsidRDefault="00AA3165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23095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4" cy="2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D87190" w:rsidRDefault="00D87190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Стерилізовано газом оксиду етилену</w:t>
            </w:r>
          </w:p>
        </w:tc>
      </w:tr>
      <w:tr w:rsidR="00AA3165" w:rsidTr="00AA3165">
        <w:tc>
          <w:tcPr>
            <w:tcW w:w="851" w:type="dxa"/>
          </w:tcPr>
          <w:p w:rsidR="00D87190" w:rsidRDefault="00AA3165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2929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5" cy="29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D87190" w:rsidRDefault="00D87190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 терміну придатності</w:t>
            </w:r>
          </w:p>
        </w:tc>
      </w:tr>
      <w:tr w:rsidR="00AA3165" w:rsidTr="00AA3165">
        <w:tc>
          <w:tcPr>
            <w:tcW w:w="851" w:type="dxa"/>
          </w:tcPr>
          <w:p w:rsidR="00D87190" w:rsidRDefault="00AA3165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9301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1" cy="2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D87190" w:rsidRDefault="00D87190" w:rsidP="00D871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лоту</w:t>
            </w:r>
          </w:p>
        </w:tc>
      </w:tr>
    </w:tbl>
    <w:p w:rsidR="0051692B" w:rsidRPr="00945847" w:rsidRDefault="00AA3165" w:rsidP="00CD13CA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70485</wp:posOffset>
                </wp:positionV>
                <wp:extent cx="3457575" cy="51435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65" w:rsidRDefault="00AA3165">
                            <w:r w:rsidRPr="00AA31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333359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1830" cy="360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Надпись 7" o:spid="_x0000_s1027" type="#_x0000_t202" style="position:absolute;margin-left:235.7pt;margin-top:5.55pt;width:272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" fillcolor="white [3201]" stroked="f" strokeweight=".5pt">
                <v:textbox>
                  <w:txbxContent>
                    <w:p w:rsidR="00AA3165" w:rsidRDefault="00AA3165">
                      <w:r w:rsidRPr="00AA3165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924050" cy="333359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1830" cy="360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1692B" w:rsidRPr="00945847" w:rsidSect="00AA3165">
      <w:pgSz w:w="11720" w:h="16180"/>
      <w:pgMar w:top="568" w:right="663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124"/>
    <w:multiLevelType w:val="hybridMultilevel"/>
    <w:tmpl w:val="6180C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8DB"/>
    <w:multiLevelType w:val="hybridMultilevel"/>
    <w:tmpl w:val="F3800936"/>
    <w:lvl w:ilvl="0" w:tplc="B49A1F34">
      <w:start w:val="12"/>
      <w:numFmt w:val="decimal"/>
      <w:lvlText w:val="%1."/>
      <w:lvlJc w:val="left"/>
      <w:pPr>
        <w:ind w:hanging="146"/>
        <w:jc w:val="left"/>
      </w:pPr>
      <w:rPr>
        <w:rFonts w:ascii="Arial" w:eastAsia="Arial" w:hAnsi="Arial" w:hint="default"/>
        <w:w w:val="86"/>
        <w:sz w:val="12"/>
        <w:szCs w:val="12"/>
      </w:rPr>
    </w:lvl>
    <w:lvl w:ilvl="1" w:tplc="64A478C0">
      <w:start w:val="7"/>
      <w:numFmt w:val="decimal"/>
      <w:lvlText w:val="%2."/>
      <w:lvlJc w:val="left"/>
      <w:pPr>
        <w:ind w:hanging="183"/>
        <w:jc w:val="left"/>
      </w:pPr>
      <w:rPr>
        <w:rFonts w:ascii="Arial" w:eastAsia="Arial" w:hAnsi="Arial" w:hint="default"/>
        <w:w w:val="77"/>
        <w:sz w:val="12"/>
        <w:szCs w:val="12"/>
      </w:rPr>
    </w:lvl>
    <w:lvl w:ilvl="2" w:tplc="FDB0FFE2">
      <w:start w:val="1"/>
      <w:numFmt w:val="bullet"/>
      <w:lvlText w:val="•"/>
      <w:lvlJc w:val="left"/>
      <w:rPr>
        <w:rFonts w:hint="default"/>
      </w:rPr>
    </w:lvl>
    <w:lvl w:ilvl="3" w:tplc="0FE06ABA">
      <w:start w:val="1"/>
      <w:numFmt w:val="bullet"/>
      <w:lvlText w:val="•"/>
      <w:lvlJc w:val="left"/>
      <w:rPr>
        <w:rFonts w:hint="default"/>
      </w:rPr>
    </w:lvl>
    <w:lvl w:ilvl="4" w:tplc="BC8E3F86">
      <w:start w:val="1"/>
      <w:numFmt w:val="bullet"/>
      <w:lvlText w:val="•"/>
      <w:lvlJc w:val="left"/>
      <w:rPr>
        <w:rFonts w:hint="default"/>
      </w:rPr>
    </w:lvl>
    <w:lvl w:ilvl="5" w:tplc="60A86BDE">
      <w:start w:val="1"/>
      <w:numFmt w:val="bullet"/>
      <w:lvlText w:val="•"/>
      <w:lvlJc w:val="left"/>
      <w:rPr>
        <w:rFonts w:hint="default"/>
      </w:rPr>
    </w:lvl>
    <w:lvl w:ilvl="6" w:tplc="9E06BAD8">
      <w:start w:val="1"/>
      <w:numFmt w:val="bullet"/>
      <w:lvlText w:val="•"/>
      <w:lvlJc w:val="left"/>
      <w:rPr>
        <w:rFonts w:hint="default"/>
      </w:rPr>
    </w:lvl>
    <w:lvl w:ilvl="7" w:tplc="990C10CA">
      <w:start w:val="1"/>
      <w:numFmt w:val="bullet"/>
      <w:lvlText w:val="•"/>
      <w:lvlJc w:val="left"/>
      <w:rPr>
        <w:rFonts w:hint="default"/>
      </w:rPr>
    </w:lvl>
    <w:lvl w:ilvl="8" w:tplc="5E986E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AA47AF"/>
    <w:multiLevelType w:val="hybridMultilevel"/>
    <w:tmpl w:val="B00AE360"/>
    <w:lvl w:ilvl="0" w:tplc="98AA25FE">
      <w:start w:val="2"/>
      <w:numFmt w:val="upp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19"/>
        <w:sz w:val="17"/>
        <w:szCs w:val="17"/>
      </w:rPr>
    </w:lvl>
    <w:lvl w:ilvl="1" w:tplc="ED2C5EE6">
      <w:start w:val="1"/>
      <w:numFmt w:val="decimal"/>
      <w:lvlText w:val="%2"/>
      <w:lvlJc w:val="left"/>
      <w:pPr>
        <w:ind w:hanging="101"/>
        <w:jc w:val="left"/>
      </w:pPr>
      <w:rPr>
        <w:rFonts w:ascii="Arial" w:eastAsia="Arial" w:hAnsi="Arial" w:hint="default"/>
        <w:w w:val="88"/>
        <w:sz w:val="12"/>
        <w:szCs w:val="12"/>
      </w:rPr>
    </w:lvl>
    <w:lvl w:ilvl="2" w:tplc="3A5C6CB4">
      <w:start w:val="1"/>
      <w:numFmt w:val="decimal"/>
      <w:lvlText w:val="%3."/>
      <w:lvlJc w:val="left"/>
      <w:pPr>
        <w:ind w:hanging="188"/>
        <w:jc w:val="left"/>
      </w:pPr>
      <w:rPr>
        <w:rFonts w:ascii="Arial" w:eastAsia="Arial" w:hAnsi="Arial" w:hint="default"/>
        <w:w w:val="85"/>
        <w:sz w:val="12"/>
        <w:szCs w:val="12"/>
      </w:rPr>
    </w:lvl>
    <w:lvl w:ilvl="3" w:tplc="AECAF530">
      <w:start w:val="1"/>
      <w:numFmt w:val="bullet"/>
      <w:lvlText w:val="•"/>
      <w:lvlJc w:val="left"/>
      <w:rPr>
        <w:rFonts w:hint="default"/>
      </w:rPr>
    </w:lvl>
    <w:lvl w:ilvl="4" w:tplc="D156721E">
      <w:start w:val="1"/>
      <w:numFmt w:val="bullet"/>
      <w:lvlText w:val="•"/>
      <w:lvlJc w:val="left"/>
      <w:rPr>
        <w:rFonts w:hint="default"/>
      </w:rPr>
    </w:lvl>
    <w:lvl w:ilvl="5" w:tplc="8D464E7A">
      <w:start w:val="1"/>
      <w:numFmt w:val="bullet"/>
      <w:lvlText w:val="•"/>
      <w:lvlJc w:val="left"/>
      <w:rPr>
        <w:rFonts w:hint="default"/>
      </w:rPr>
    </w:lvl>
    <w:lvl w:ilvl="6" w:tplc="16726264">
      <w:start w:val="1"/>
      <w:numFmt w:val="bullet"/>
      <w:lvlText w:val="•"/>
      <w:lvlJc w:val="left"/>
      <w:rPr>
        <w:rFonts w:hint="default"/>
      </w:rPr>
    </w:lvl>
    <w:lvl w:ilvl="7" w:tplc="2F88D5CC">
      <w:start w:val="1"/>
      <w:numFmt w:val="bullet"/>
      <w:lvlText w:val="•"/>
      <w:lvlJc w:val="left"/>
      <w:rPr>
        <w:rFonts w:hint="default"/>
      </w:rPr>
    </w:lvl>
    <w:lvl w:ilvl="8" w:tplc="B07C212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C943B2"/>
    <w:multiLevelType w:val="hybridMultilevel"/>
    <w:tmpl w:val="AF3E7B36"/>
    <w:lvl w:ilvl="0" w:tplc="21C28D20">
      <w:start w:val="5"/>
      <w:numFmt w:val="decimal"/>
      <w:lvlText w:val="%1"/>
      <w:lvlJc w:val="left"/>
      <w:pPr>
        <w:ind w:hanging="96"/>
        <w:jc w:val="left"/>
      </w:pPr>
      <w:rPr>
        <w:rFonts w:ascii="Arial" w:eastAsia="Arial" w:hAnsi="Arial" w:hint="default"/>
        <w:w w:val="81"/>
        <w:sz w:val="12"/>
        <w:szCs w:val="12"/>
      </w:rPr>
    </w:lvl>
    <w:lvl w:ilvl="1" w:tplc="9F2E55B6">
      <w:start w:val="1"/>
      <w:numFmt w:val="bullet"/>
      <w:lvlText w:val="•"/>
      <w:lvlJc w:val="left"/>
      <w:rPr>
        <w:rFonts w:hint="default"/>
      </w:rPr>
    </w:lvl>
    <w:lvl w:ilvl="2" w:tplc="AF2257FA">
      <w:start w:val="1"/>
      <w:numFmt w:val="bullet"/>
      <w:lvlText w:val="•"/>
      <w:lvlJc w:val="left"/>
      <w:rPr>
        <w:rFonts w:hint="default"/>
      </w:rPr>
    </w:lvl>
    <w:lvl w:ilvl="3" w:tplc="78B06CA0">
      <w:start w:val="1"/>
      <w:numFmt w:val="bullet"/>
      <w:lvlText w:val="•"/>
      <w:lvlJc w:val="left"/>
      <w:rPr>
        <w:rFonts w:hint="default"/>
      </w:rPr>
    </w:lvl>
    <w:lvl w:ilvl="4" w:tplc="BC2C661A">
      <w:start w:val="1"/>
      <w:numFmt w:val="bullet"/>
      <w:lvlText w:val="•"/>
      <w:lvlJc w:val="left"/>
      <w:rPr>
        <w:rFonts w:hint="default"/>
      </w:rPr>
    </w:lvl>
    <w:lvl w:ilvl="5" w:tplc="798A1312">
      <w:start w:val="1"/>
      <w:numFmt w:val="bullet"/>
      <w:lvlText w:val="•"/>
      <w:lvlJc w:val="left"/>
      <w:rPr>
        <w:rFonts w:hint="default"/>
      </w:rPr>
    </w:lvl>
    <w:lvl w:ilvl="6" w:tplc="10862CCE">
      <w:start w:val="1"/>
      <w:numFmt w:val="bullet"/>
      <w:lvlText w:val="•"/>
      <w:lvlJc w:val="left"/>
      <w:rPr>
        <w:rFonts w:hint="default"/>
      </w:rPr>
    </w:lvl>
    <w:lvl w:ilvl="7" w:tplc="3C60BC62">
      <w:start w:val="1"/>
      <w:numFmt w:val="bullet"/>
      <w:lvlText w:val="•"/>
      <w:lvlJc w:val="left"/>
      <w:rPr>
        <w:rFonts w:hint="default"/>
      </w:rPr>
    </w:lvl>
    <w:lvl w:ilvl="8" w:tplc="AD68197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F743A04"/>
    <w:multiLevelType w:val="hybridMultilevel"/>
    <w:tmpl w:val="A41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5B8C"/>
    <w:multiLevelType w:val="hybridMultilevel"/>
    <w:tmpl w:val="9EB86B18"/>
    <w:lvl w:ilvl="0" w:tplc="F0742C0A">
      <w:start w:val="1"/>
      <w:numFmt w:val="upperRoman"/>
      <w:lvlText w:val="%1."/>
      <w:lvlJc w:val="left"/>
      <w:pPr>
        <w:ind w:hanging="221"/>
        <w:jc w:val="left"/>
      </w:pPr>
      <w:rPr>
        <w:rFonts w:ascii="Calibri" w:eastAsia="Calibri" w:hAnsi="Calibri" w:hint="default"/>
        <w:spacing w:val="-14"/>
        <w:w w:val="265"/>
        <w:sz w:val="17"/>
        <w:szCs w:val="17"/>
      </w:rPr>
    </w:lvl>
    <w:lvl w:ilvl="1" w:tplc="066A5764">
      <w:start w:val="1"/>
      <w:numFmt w:val="decimal"/>
      <w:lvlText w:val="%2"/>
      <w:lvlJc w:val="left"/>
      <w:pPr>
        <w:ind w:hanging="92"/>
        <w:jc w:val="left"/>
      </w:pPr>
      <w:rPr>
        <w:rFonts w:ascii="Arial" w:eastAsia="Arial" w:hAnsi="Arial" w:hint="default"/>
        <w:w w:val="73"/>
        <w:sz w:val="12"/>
        <w:szCs w:val="12"/>
      </w:rPr>
    </w:lvl>
    <w:lvl w:ilvl="2" w:tplc="00FE511C">
      <w:start w:val="1"/>
      <w:numFmt w:val="bullet"/>
      <w:lvlText w:val="•"/>
      <w:lvlJc w:val="left"/>
      <w:rPr>
        <w:rFonts w:hint="default"/>
      </w:rPr>
    </w:lvl>
    <w:lvl w:ilvl="3" w:tplc="2CE48CD2">
      <w:start w:val="1"/>
      <w:numFmt w:val="bullet"/>
      <w:lvlText w:val="•"/>
      <w:lvlJc w:val="left"/>
      <w:rPr>
        <w:rFonts w:hint="default"/>
      </w:rPr>
    </w:lvl>
    <w:lvl w:ilvl="4" w:tplc="BDA05974">
      <w:start w:val="1"/>
      <w:numFmt w:val="bullet"/>
      <w:lvlText w:val="•"/>
      <w:lvlJc w:val="left"/>
      <w:rPr>
        <w:rFonts w:hint="default"/>
      </w:rPr>
    </w:lvl>
    <w:lvl w:ilvl="5" w:tplc="1A6267E8">
      <w:start w:val="1"/>
      <w:numFmt w:val="bullet"/>
      <w:lvlText w:val="•"/>
      <w:lvlJc w:val="left"/>
      <w:rPr>
        <w:rFonts w:hint="default"/>
      </w:rPr>
    </w:lvl>
    <w:lvl w:ilvl="6" w:tplc="AE0EEFB8">
      <w:start w:val="1"/>
      <w:numFmt w:val="bullet"/>
      <w:lvlText w:val="•"/>
      <w:lvlJc w:val="left"/>
      <w:rPr>
        <w:rFonts w:hint="default"/>
      </w:rPr>
    </w:lvl>
    <w:lvl w:ilvl="7" w:tplc="FC7008FC">
      <w:start w:val="1"/>
      <w:numFmt w:val="bullet"/>
      <w:lvlText w:val="•"/>
      <w:lvlJc w:val="left"/>
      <w:rPr>
        <w:rFonts w:hint="default"/>
      </w:rPr>
    </w:lvl>
    <w:lvl w:ilvl="8" w:tplc="2ED61A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D62573"/>
    <w:multiLevelType w:val="hybridMultilevel"/>
    <w:tmpl w:val="CBDEBB34"/>
    <w:lvl w:ilvl="0" w:tplc="2FA67166">
      <w:start w:val="1"/>
      <w:numFmt w:val="decimal"/>
      <w:lvlText w:val="%1."/>
      <w:lvlJc w:val="left"/>
      <w:pPr>
        <w:ind w:hanging="178"/>
        <w:jc w:val="left"/>
      </w:pPr>
      <w:rPr>
        <w:rFonts w:ascii="Arial" w:eastAsia="Arial" w:hAnsi="Arial" w:hint="default"/>
        <w:w w:val="85"/>
        <w:sz w:val="12"/>
        <w:szCs w:val="12"/>
      </w:rPr>
    </w:lvl>
    <w:lvl w:ilvl="1" w:tplc="C28058D8">
      <w:start w:val="1"/>
      <w:numFmt w:val="bullet"/>
      <w:lvlText w:val="•"/>
      <w:lvlJc w:val="left"/>
      <w:rPr>
        <w:rFonts w:hint="default"/>
      </w:rPr>
    </w:lvl>
    <w:lvl w:ilvl="2" w:tplc="C360F4C8">
      <w:start w:val="1"/>
      <w:numFmt w:val="bullet"/>
      <w:lvlText w:val="•"/>
      <w:lvlJc w:val="left"/>
      <w:rPr>
        <w:rFonts w:hint="default"/>
      </w:rPr>
    </w:lvl>
    <w:lvl w:ilvl="3" w:tplc="3DA2E094">
      <w:start w:val="1"/>
      <w:numFmt w:val="bullet"/>
      <w:lvlText w:val="•"/>
      <w:lvlJc w:val="left"/>
      <w:rPr>
        <w:rFonts w:hint="default"/>
      </w:rPr>
    </w:lvl>
    <w:lvl w:ilvl="4" w:tplc="14A8C7DA">
      <w:start w:val="1"/>
      <w:numFmt w:val="bullet"/>
      <w:lvlText w:val="•"/>
      <w:lvlJc w:val="left"/>
      <w:rPr>
        <w:rFonts w:hint="default"/>
      </w:rPr>
    </w:lvl>
    <w:lvl w:ilvl="5" w:tplc="9E3293A4">
      <w:start w:val="1"/>
      <w:numFmt w:val="bullet"/>
      <w:lvlText w:val="•"/>
      <w:lvlJc w:val="left"/>
      <w:rPr>
        <w:rFonts w:hint="default"/>
      </w:rPr>
    </w:lvl>
    <w:lvl w:ilvl="6" w:tplc="8E66708C">
      <w:start w:val="1"/>
      <w:numFmt w:val="bullet"/>
      <w:lvlText w:val="•"/>
      <w:lvlJc w:val="left"/>
      <w:rPr>
        <w:rFonts w:hint="default"/>
      </w:rPr>
    </w:lvl>
    <w:lvl w:ilvl="7" w:tplc="256633AC">
      <w:start w:val="1"/>
      <w:numFmt w:val="bullet"/>
      <w:lvlText w:val="•"/>
      <w:lvlJc w:val="left"/>
      <w:rPr>
        <w:rFonts w:hint="default"/>
      </w:rPr>
    </w:lvl>
    <w:lvl w:ilvl="8" w:tplc="A9F227C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02024DB"/>
    <w:multiLevelType w:val="hybridMultilevel"/>
    <w:tmpl w:val="439AEFE4"/>
    <w:lvl w:ilvl="0" w:tplc="BE8C8D40">
      <w:start w:val="1"/>
      <w:numFmt w:val="decimal"/>
      <w:lvlText w:val="%1."/>
      <w:lvlJc w:val="left"/>
      <w:pPr>
        <w:ind w:hanging="178"/>
        <w:jc w:val="right"/>
      </w:pPr>
      <w:rPr>
        <w:rFonts w:ascii="Arial" w:eastAsia="Arial" w:hAnsi="Arial" w:hint="default"/>
        <w:w w:val="85"/>
        <w:sz w:val="12"/>
        <w:szCs w:val="12"/>
      </w:rPr>
    </w:lvl>
    <w:lvl w:ilvl="1" w:tplc="4692AF52">
      <w:start w:val="1"/>
      <w:numFmt w:val="bullet"/>
      <w:lvlText w:val="•"/>
      <w:lvlJc w:val="left"/>
      <w:rPr>
        <w:rFonts w:hint="default"/>
      </w:rPr>
    </w:lvl>
    <w:lvl w:ilvl="2" w:tplc="8E34DF1C">
      <w:start w:val="1"/>
      <w:numFmt w:val="bullet"/>
      <w:lvlText w:val="•"/>
      <w:lvlJc w:val="left"/>
      <w:rPr>
        <w:rFonts w:hint="default"/>
      </w:rPr>
    </w:lvl>
    <w:lvl w:ilvl="3" w:tplc="CB948556">
      <w:start w:val="1"/>
      <w:numFmt w:val="bullet"/>
      <w:lvlText w:val="•"/>
      <w:lvlJc w:val="left"/>
      <w:rPr>
        <w:rFonts w:hint="default"/>
      </w:rPr>
    </w:lvl>
    <w:lvl w:ilvl="4" w:tplc="C4CA066C">
      <w:start w:val="1"/>
      <w:numFmt w:val="bullet"/>
      <w:lvlText w:val="•"/>
      <w:lvlJc w:val="left"/>
      <w:rPr>
        <w:rFonts w:hint="default"/>
      </w:rPr>
    </w:lvl>
    <w:lvl w:ilvl="5" w:tplc="B4A8FFB2">
      <w:start w:val="1"/>
      <w:numFmt w:val="bullet"/>
      <w:lvlText w:val="•"/>
      <w:lvlJc w:val="left"/>
      <w:rPr>
        <w:rFonts w:hint="default"/>
      </w:rPr>
    </w:lvl>
    <w:lvl w:ilvl="6" w:tplc="ECF89CB0">
      <w:start w:val="1"/>
      <w:numFmt w:val="bullet"/>
      <w:lvlText w:val="•"/>
      <w:lvlJc w:val="left"/>
      <w:rPr>
        <w:rFonts w:hint="default"/>
      </w:rPr>
    </w:lvl>
    <w:lvl w:ilvl="7" w:tplc="947620F4">
      <w:start w:val="1"/>
      <w:numFmt w:val="bullet"/>
      <w:lvlText w:val="•"/>
      <w:lvlJc w:val="left"/>
      <w:rPr>
        <w:rFonts w:hint="default"/>
      </w:rPr>
    </w:lvl>
    <w:lvl w:ilvl="8" w:tplc="866ECE7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3F55A9"/>
    <w:multiLevelType w:val="hybridMultilevel"/>
    <w:tmpl w:val="A5BA7B3A"/>
    <w:lvl w:ilvl="0" w:tplc="50461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37E6F"/>
    <w:multiLevelType w:val="hybridMultilevel"/>
    <w:tmpl w:val="1CDA2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B3048"/>
    <w:multiLevelType w:val="hybridMultilevel"/>
    <w:tmpl w:val="DEC83BA4"/>
    <w:lvl w:ilvl="0" w:tplc="64EE6CFA">
      <w:start w:val="2"/>
      <w:numFmt w:val="decimal"/>
      <w:lvlText w:val="%1."/>
      <w:lvlJc w:val="left"/>
      <w:pPr>
        <w:ind w:hanging="197"/>
        <w:jc w:val="left"/>
      </w:pPr>
      <w:rPr>
        <w:rFonts w:ascii="Arial" w:eastAsia="Arial" w:hAnsi="Arial" w:hint="default"/>
        <w:w w:val="80"/>
        <w:sz w:val="12"/>
        <w:szCs w:val="12"/>
      </w:rPr>
    </w:lvl>
    <w:lvl w:ilvl="1" w:tplc="139A39EA">
      <w:start w:val="1"/>
      <w:numFmt w:val="bullet"/>
      <w:lvlText w:val="•"/>
      <w:lvlJc w:val="left"/>
      <w:rPr>
        <w:rFonts w:hint="default"/>
      </w:rPr>
    </w:lvl>
    <w:lvl w:ilvl="2" w:tplc="1332D204">
      <w:start w:val="1"/>
      <w:numFmt w:val="bullet"/>
      <w:lvlText w:val="•"/>
      <w:lvlJc w:val="left"/>
      <w:rPr>
        <w:rFonts w:hint="default"/>
      </w:rPr>
    </w:lvl>
    <w:lvl w:ilvl="3" w:tplc="A4CA6260">
      <w:start w:val="1"/>
      <w:numFmt w:val="bullet"/>
      <w:lvlText w:val="•"/>
      <w:lvlJc w:val="left"/>
      <w:rPr>
        <w:rFonts w:hint="default"/>
      </w:rPr>
    </w:lvl>
    <w:lvl w:ilvl="4" w:tplc="5DE80D2A">
      <w:start w:val="1"/>
      <w:numFmt w:val="bullet"/>
      <w:lvlText w:val="•"/>
      <w:lvlJc w:val="left"/>
      <w:rPr>
        <w:rFonts w:hint="default"/>
      </w:rPr>
    </w:lvl>
    <w:lvl w:ilvl="5" w:tplc="7C3EC2C8">
      <w:start w:val="1"/>
      <w:numFmt w:val="bullet"/>
      <w:lvlText w:val="•"/>
      <w:lvlJc w:val="left"/>
      <w:rPr>
        <w:rFonts w:hint="default"/>
      </w:rPr>
    </w:lvl>
    <w:lvl w:ilvl="6" w:tplc="FB4C5160">
      <w:start w:val="1"/>
      <w:numFmt w:val="bullet"/>
      <w:lvlText w:val="•"/>
      <w:lvlJc w:val="left"/>
      <w:rPr>
        <w:rFonts w:hint="default"/>
      </w:rPr>
    </w:lvl>
    <w:lvl w:ilvl="7" w:tplc="5E0A358C">
      <w:start w:val="1"/>
      <w:numFmt w:val="bullet"/>
      <w:lvlText w:val="•"/>
      <w:lvlJc w:val="left"/>
      <w:rPr>
        <w:rFonts w:hint="default"/>
      </w:rPr>
    </w:lvl>
    <w:lvl w:ilvl="8" w:tplc="A59AB0B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C6078B5"/>
    <w:multiLevelType w:val="hybridMultilevel"/>
    <w:tmpl w:val="117077CA"/>
    <w:lvl w:ilvl="0" w:tplc="13C61830">
      <w:start w:val="1"/>
      <w:numFmt w:val="decimal"/>
      <w:lvlText w:val="%1"/>
      <w:lvlJc w:val="left"/>
      <w:pPr>
        <w:ind w:hanging="92"/>
        <w:jc w:val="left"/>
      </w:pPr>
      <w:rPr>
        <w:rFonts w:ascii="Arial" w:eastAsia="Arial" w:hAnsi="Arial" w:hint="default"/>
        <w:w w:val="73"/>
        <w:sz w:val="12"/>
        <w:szCs w:val="12"/>
      </w:rPr>
    </w:lvl>
    <w:lvl w:ilvl="1" w:tplc="3A2ADE7C">
      <w:start w:val="1"/>
      <w:numFmt w:val="bullet"/>
      <w:lvlText w:val="•"/>
      <w:lvlJc w:val="left"/>
      <w:rPr>
        <w:rFonts w:hint="default"/>
      </w:rPr>
    </w:lvl>
    <w:lvl w:ilvl="2" w:tplc="C5FA8D36">
      <w:start w:val="1"/>
      <w:numFmt w:val="bullet"/>
      <w:lvlText w:val="•"/>
      <w:lvlJc w:val="left"/>
      <w:rPr>
        <w:rFonts w:hint="default"/>
      </w:rPr>
    </w:lvl>
    <w:lvl w:ilvl="3" w:tplc="DAEAF342">
      <w:start w:val="1"/>
      <w:numFmt w:val="bullet"/>
      <w:lvlText w:val="•"/>
      <w:lvlJc w:val="left"/>
      <w:rPr>
        <w:rFonts w:hint="default"/>
      </w:rPr>
    </w:lvl>
    <w:lvl w:ilvl="4" w:tplc="CF6E2D7A">
      <w:start w:val="1"/>
      <w:numFmt w:val="bullet"/>
      <w:lvlText w:val="•"/>
      <w:lvlJc w:val="left"/>
      <w:rPr>
        <w:rFonts w:hint="default"/>
      </w:rPr>
    </w:lvl>
    <w:lvl w:ilvl="5" w:tplc="01A43326">
      <w:start w:val="1"/>
      <w:numFmt w:val="bullet"/>
      <w:lvlText w:val="•"/>
      <w:lvlJc w:val="left"/>
      <w:rPr>
        <w:rFonts w:hint="default"/>
      </w:rPr>
    </w:lvl>
    <w:lvl w:ilvl="6" w:tplc="8FCAA300">
      <w:start w:val="1"/>
      <w:numFmt w:val="bullet"/>
      <w:lvlText w:val="•"/>
      <w:lvlJc w:val="left"/>
      <w:rPr>
        <w:rFonts w:hint="default"/>
      </w:rPr>
    </w:lvl>
    <w:lvl w:ilvl="7" w:tplc="B126A84C">
      <w:start w:val="1"/>
      <w:numFmt w:val="bullet"/>
      <w:lvlText w:val="•"/>
      <w:lvlJc w:val="left"/>
      <w:rPr>
        <w:rFonts w:hint="default"/>
      </w:rPr>
    </w:lvl>
    <w:lvl w:ilvl="8" w:tplc="EC56472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42"/>
    <w:rsid w:val="00022B72"/>
    <w:rsid w:val="000E4E51"/>
    <w:rsid w:val="00153E97"/>
    <w:rsid w:val="001A7FB8"/>
    <w:rsid w:val="001E2CE8"/>
    <w:rsid w:val="00267D7F"/>
    <w:rsid w:val="00293FCB"/>
    <w:rsid w:val="003A07A6"/>
    <w:rsid w:val="0044511E"/>
    <w:rsid w:val="00502DC2"/>
    <w:rsid w:val="005071F0"/>
    <w:rsid w:val="0051692B"/>
    <w:rsid w:val="005477ED"/>
    <w:rsid w:val="005F1EEB"/>
    <w:rsid w:val="00624521"/>
    <w:rsid w:val="006B4A2E"/>
    <w:rsid w:val="007F261D"/>
    <w:rsid w:val="00930FF3"/>
    <w:rsid w:val="00945847"/>
    <w:rsid w:val="009D51E4"/>
    <w:rsid w:val="009E2F16"/>
    <w:rsid w:val="00AA3165"/>
    <w:rsid w:val="00AA5442"/>
    <w:rsid w:val="00AB31BC"/>
    <w:rsid w:val="00AE2D54"/>
    <w:rsid w:val="00C37C2D"/>
    <w:rsid w:val="00C92953"/>
    <w:rsid w:val="00CD13CA"/>
    <w:rsid w:val="00CD1B35"/>
    <w:rsid w:val="00D87190"/>
    <w:rsid w:val="00EA3BB6"/>
    <w:rsid w:val="00E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Arial" w:eastAsia="Arial" w:hAnsi="Arial"/>
      <w:sz w:val="34"/>
      <w:szCs w:val="34"/>
    </w:rPr>
  </w:style>
  <w:style w:type="paragraph" w:styleId="2">
    <w:name w:val="heading 2"/>
    <w:basedOn w:val="a"/>
    <w:uiPriority w:val="1"/>
    <w:qFormat/>
    <w:pPr>
      <w:outlineLvl w:val="1"/>
    </w:pPr>
    <w:rPr>
      <w:rFonts w:ascii="Arial" w:eastAsia="Arial" w:hAnsi="Arial"/>
      <w:sz w:val="18"/>
      <w:szCs w:val="18"/>
    </w:rPr>
  </w:style>
  <w:style w:type="paragraph" w:styleId="3">
    <w:name w:val="heading 3"/>
    <w:basedOn w:val="a"/>
    <w:uiPriority w:val="1"/>
    <w:qFormat/>
    <w:pPr>
      <w:ind w:left="178"/>
      <w:outlineLvl w:val="2"/>
    </w:pPr>
    <w:rPr>
      <w:rFonts w:ascii="Arial" w:eastAsia="Arial" w:hAnsi="Arial"/>
      <w:sz w:val="17"/>
      <w:szCs w:val="17"/>
    </w:rPr>
  </w:style>
  <w:style w:type="paragraph" w:styleId="4">
    <w:name w:val="heading 4"/>
    <w:basedOn w:val="a"/>
    <w:uiPriority w:val="1"/>
    <w:qFormat/>
    <w:pPr>
      <w:outlineLvl w:val="3"/>
    </w:pPr>
    <w:rPr>
      <w:rFonts w:ascii="Arial" w:eastAsia="Arial" w:hAnsi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</w:pPr>
    <w:rPr>
      <w:rFonts w:ascii="Arial" w:eastAsia="Arial" w:hAnsi="Arial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Arial" w:eastAsia="Arial" w:hAnsi="Arial"/>
      <w:sz w:val="34"/>
      <w:szCs w:val="34"/>
    </w:rPr>
  </w:style>
  <w:style w:type="paragraph" w:styleId="2">
    <w:name w:val="heading 2"/>
    <w:basedOn w:val="a"/>
    <w:uiPriority w:val="1"/>
    <w:qFormat/>
    <w:pPr>
      <w:outlineLvl w:val="1"/>
    </w:pPr>
    <w:rPr>
      <w:rFonts w:ascii="Arial" w:eastAsia="Arial" w:hAnsi="Arial"/>
      <w:sz w:val="18"/>
      <w:szCs w:val="18"/>
    </w:rPr>
  </w:style>
  <w:style w:type="paragraph" w:styleId="3">
    <w:name w:val="heading 3"/>
    <w:basedOn w:val="a"/>
    <w:uiPriority w:val="1"/>
    <w:qFormat/>
    <w:pPr>
      <w:ind w:left="178"/>
      <w:outlineLvl w:val="2"/>
    </w:pPr>
    <w:rPr>
      <w:rFonts w:ascii="Arial" w:eastAsia="Arial" w:hAnsi="Arial"/>
      <w:sz w:val="17"/>
      <w:szCs w:val="17"/>
    </w:rPr>
  </w:style>
  <w:style w:type="paragraph" w:styleId="4">
    <w:name w:val="heading 4"/>
    <w:basedOn w:val="a"/>
    <w:uiPriority w:val="1"/>
    <w:qFormat/>
    <w:pPr>
      <w:outlineLvl w:val="3"/>
    </w:pPr>
    <w:rPr>
      <w:rFonts w:ascii="Arial" w:eastAsia="Arial" w:hAnsi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</w:pPr>
    <w:rPr>
      <w:rFonts w:ascii="Arial" w:eastAsia="Arial" w:hAnsi="Arial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0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Regulatory Dialservice</dc:creator>
  <cp:lastModifiedBy>regulatory</cp:lastModifiedBy>
  <cp:revision>2</cp:revision>
  <dcterms:created xsi:type="dcterms:W3CDTF">2019-08-01T07:25:00Z</dcterms:created>
  <dcterms:modified xsi:type="dcterms:W3CDTF">2019-08-01T07:25:00Z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2015-02-16T00:00:00Z</vt:filetime>
  </property>
</Properties>
</file>