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2AE6" w14:textId="683862B0" w:rsidR="00500D18" w:rsidRPr="0011753D" w:rsidRDefault="00500D18" w:rsidP="002027F3">
      <w:pPr>
        <w:shd w:val="clear" w:color="auto" w:fill="FFFFFF"/>
        <w:spacing w:after="0" w:line="240" w:lineRule="auto"/>
        <w:rPr>
          <w:rFonts w:ascii="Arial" w:hAnsi="Arial"/>
          <w:szCs w:val="24"/>
        </w:rPr>
      </w:pPr>
      <w:bookmarkStart w:id="0" w:name="_GoBack"/>
      <w:bookmarkEnd w:id="0"/>
    </w:p>
    <w:p w14:paraId="27AAAE03" w14:textId="77777777" w:rsidR="002E35D9" w:rsidRPr="00370B31" w:rsidRDefault="002E35D9" w:rsidP="00E32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</w:p>
    <w:p w14:paraId="59E26661" w14:textId="77777777" w:rsidR="00E32742" w:rsidRPr="00370B31" w:rsidRDefault="00E32742" w:rsidP="00E3274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</w:pPr>
    </w:p>
    <w:tbl>
      <w:tblPr>
        <w:tblW w:w="0" w:type="auto"/>
        <w:tblInd w:w="-31" w:type="dxa"/>
        <w:tblLayout w:type="fixed"/>
        <w:tblLook w:val="0000" w:firstRow="0" w:lastRow="0" w:firstColumn="0" w:lastColumn="0" w:noHBand="0" w:noVBand="0"/>
      </w:tblPr>
      <w:tblGrid>
        <w:gridCol w:w="6122"/>
        <w:gridCol w:w="8930"/>
      </w:tblGrid>
      <w:tr w:rsidR="00E32742" w:rsidRPr="00370B31" w14:paraId="377A5CFF" w14:textId="77777777" w:rsidTr="00E32742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8768" w14:textId="77777777" w:rsidR="00E32742" w:rsidRPr="00370B31" w:rsidRDefault="00E32742" w:rsidP="005F2C18">
            <w:pPr>
              <w:pStyle w:val="NormalWeb"/>
              <w:spacing w:before="0" w:after="0"/>
              <w:jc w:val="center"/>
              <w:rPr>
                <w:rFonts w:ascii="Calibri" w:hAnsi="Calibri"/>
                <w:lang w:val="en-US"/>
              </w:rPr>
            </w:pPr>
            <w:r w:rsidRPr="00370B31">
              <w:rPr>
                <w:rFonts w:ascii="Calibri" w:hAnsi="Calibri"/>
              </w:rPr>
              <w:t>English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7766" w14:textId="77777777" w:rsidR="00E32742" w:rsidRPr="00370B31" w:rsidRDefault="00E32742" w:rsidP="005F2C18">
            <w:pPr>
              <w:snapToGrid w:val="0"/>
              <w:jc w:val="center"/>
              <w:rPr>
                <w:rFonts w:ascii="Calibri" w:eastAsia="Times New Roman" w:hAnsi="Calibri" w:cs="Calibri"/>
                <w:bCs/>
                <w:sz w:val="24"/>
                <w:lang w:val="en-US"/>
              </w:rPr>
            </w:pPr>
            <w:r w:rsidRPr="00370B31">
              <w:rPr>
                <w:rFonts w:ascii="Calibri" w:eastAsia="Times New Roman" w:hAnsi="Calibri" w:cs="Calibri"/>
                <w:bCs/>
                <w:sz w:val="24"/>
                <w:lang w:val="en-US"/>
              </w:rPr>
              <w:t>Russian</w:t>
            </w:r>
            <w:r w:rsidRPr="00370B31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or Ukrainian</w:t>
            </w:r>
          </w:p>
        </w:tc>
      </w:tr>
      <w:tr w:rsidR="00E32742" w:rsidRPr="00F262B8" w14:paraId="49EBD1A1" w14:textId="77777777" w:rsidTr="00E32742"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E6D6A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  <w:r w:rsidRPr="00370B31">
              <w:rPr>
                <w:rFonts w:ascii="Calibri" w:hAnsi="Calibri"/>
                <w:lang w:val="en-US"/>
              </w:rPr>
              <w:t>Ipilimumab plus sargramostim vs ipilimumab alone for treatment of metastatic melanoma: a randomized clinical trial.</w:t>
            </w:r>
          </w:p>
          <w:p w14:paraId="17C85FFD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</w:p>
          <w:p w14:paraId="7D1736B6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  <w:r w:rsidRPr="00370B31">
              <w:rPr>
                <w:rFonts w:ascii="Calibri" w:hAnsi="Calibri"/>
                <w:lang w:val="en-US"/>
              </w:rPr>
              <w:t>IMPORTANCE: Cytotoxic T-lymphocyte-associated antigen 4 (CTLA-4) blockade with ipilimumab prolongs survival in patients with metastatic melanoma. CTLA-4 blockade and granulocyte-macrophage colony-stimulating factor (GM-CSF)-secreting tumor vaccine combinations demonstrate therapeutic synergy in preclinical models. A key unanswered question is whether systemic GM-CSF (sargramostim) enhances CTLA-4 blockade.</w:t>
            </w:r>
          </w:p>
          <w:p w14:paraId="7E9AE118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</w:p>
          <w:p w14:paraId="16BA5506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  <w:r w:rsidRPr="00370B31">
              <w:rPr>
                <w:rFonts w:ascii="Calibri" w:hAnsi="Calibri"/>
                <w:lang w:val="en-US"/>
              </w:rPr>
              <w:t>DESIGN, SETTING, AND PARTICIPANTS: The Eastern Cooperative Oncology Group (ECOG) conducted a US-based phase 2 randomized clinical trial from December 28, 2010, until July 28, 2011, of patients (N = 245) with unresectable stage III or IV melanoma, at least 1 prior therapy, no central nervous system metastases, and ECOG performance status of 0 or 1.</w:t>
            </w:r>
          </w:p>
          <w:p w14:paraId="055C9209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</w:p>
          <w:p w14:paraId="4B5B285A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  <w:r w:rsidRPr="00370B31">
              <w:rPr>
                <w:rFonts w:ascii="Calibri" w:hAnsi="Calibri"/>
                <w:lang w:val="en-US"/>
              </w:rPr>
              <w:t>INTERVENTIONS: Patients were randomized to receive ipilimumab, 10 mg/kg, intravenously on day 1 plus sargramostim, 250 μg subcutaneously, on days 1 to 14 of a 21-day cycle (n = 123) vs ipilimumab alone (n = 122). Ipilimumab treatment included induction for 4 cycles followed by maintenance every fourth cycle.</w:t>
            </w:r>
          </w:p>
          <w:p w14:paraId="0327F0AC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</w:p>
          <w:p w14:paraId="2E48A025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  <w:r w:rsidRPr="00370B31">
              <w:rPr>
                <w:rFonts w:ascii="Calibri" w:hAnsi="Calibri"/>
                <w:lang w:val="en-US"/>
              </w:rPr>
              <w:t>MAIN OUTCOMES AND MEASURES: Primary end point: comparison of length of overall survival (OS). Secondary end point: progression-free survival (PFS), response rate, safety, and tolerability.</w:t>
            </w:r>
          </w:p>
          <w:p w14:paraId="333484FC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</w:p>
          <w:p w14:paraId="00DE845A" w14:textId="77777777" w:rsidR="00E32742" w:rsidRPr="00370B31" w:rsidRDefault="00E32742" w:rsidP="005F2C18">
            <w:pPr>
              <w:pStyle w:val="NormalWeb"/>
              <w:spacing w:before="0" w:after="0"/>
              <w:jc w:val="both"/>
              <w:rPr>
                <w:rFonts w:ascii="Calibri" w:hAnsi="Calibri"/>
                <w:lang w:val="en-US"/>
              </w:rPr>
            </w:pPr>
            <w:r w:rsidRPr="00370B31">
              <w:rPr>
                <w:rFonts w:ascii="Calibri" w:hAnsi="Calibri"/>
                <w:lang w:val="en-US"/>
              </w:rPr>
              <w:t>RESULTS: Median follow-up was 13.3 months (range, 0.03-19.9). Median OS as of December 2012 for ipilimumab plus sargramostim was 17.5 months (95% CI, 14.9-not reached) vs 12.7 months (95% CI, 10.0-not reached) for ipilimumab. The 1-year survival rate for ipilimumab plus sargramostim was 68.9% (95% CI, 60.6%-85.5%) compared to 52.9% (95% CI, 43.6%-62.2%) for ipilimumab alone (stratified log-rank 1-sided P = .01; mortality hazard ratio 0.64 [1-sided 90% repeated CI, not applicable-0.90]). There was no difference in PFS. Grade 3 to 5 adverse events occurred in 44.9% (95% CI; 35.8%-54.4%) of patients in the ipilimumab plus sargramostim group vs 58.3% (95% CI, 49.0%-67.2%) of patients in the ipilimumab-alone group (2-sided P = .04).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BACA" w14:textId="0218D74E" w:rsidR="006F1806" w:rsidRDefault="00AE7C98" w:rsidP="001075C8">
            <w:pPr>
              <w:snapToGrid w:val="0"/>
              <w:jc w:val="both"/>
              <w:rPr>
                <w:rFonts w:ascii="Calibri" w:eastAsia="Times New Roman" w:hAnsi="Calibri" w:cs="Calibri"/>
                <w:bCs/>
                <w:sz w:val="24"/>
                <w:lang w:val="uk-UA"/>
              </w:rPr>
            </w:pPr>
            <w:r>
              <w:rPr>
                <w:rFonts w:ascii="Calibri" w:eastAsia="Times New Roman" w:hAnsi="Calibri" w:cs="Calibri"/>
                <w:bCs/>
                <w:sz w:val="24"/>
                <w:lang w:val="uk-UA"/>
              </w:rPr>
              <w:lastRenderedPageBreak/>
              <w:t xml:space="preserve">Іпілімумаб </w:t>
            </w:r>
            <w:r w:rsidR="0002071E">
              <w:rPr>
                <w:rFonts w:ascii="Calibri" w:eastAsia="Times New Roman" w:hAnsi="Calibri" w:cs="Calibri"/>
                <w:bCs/>
                <w:sz w:val="24"/>
                <w:lang w:val="uk-UA"/>
              </w:rPr>
              <w:t>плюс</w:t>
            </w:r>
            <w:r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</w:t>
            </w:r>
            <w:r w:rsidR="00482D3B">
              <w:rPr>
                <w:rFonts w:ascii="Calibri" w:eastAsia="Times New Roman" w:hAnsi="Calibri" w:cs="Calibri"/>
                <w:bCs/>
                <w:sz w:val="24"/>
                <w:lang w:val="uk-UA"/>
              </w:rPr>
              <w:t>сарг</w:t>
            </w:r>
            <w:r w:rsidR="00757F4C">
              <w:rPr>
                <w:rFonts w:ascii="Calibri" w:eastAsia="Times New Roman" w:hAnsi="Calibri" w:cs="Calibri"/>
                <w:bCs/>
                <w:sz w:val="24"/>
                <w:lang w:val="uk-UA"/>
              </w:rPr>
              <w:t>р</w:t>
            </w:r>
            <w:r w:rsidR="00082D74">
              <w:rPr>
                <w:rFonts w:ascii="Calibri" w:eastAsia="Times New Roman" w:hAnsi="Calibri" w:cs="Calibri"/>
                <w:bCs/>
                <w:sz w:val="24"/>
                <w:lang w:val="uk-UA"/>
              </w:rPr>
              <w:t>а</w:t>
            </w:r>
            <w:r w:rsidR="0024268E">
              <w:rPr>
                <w:rFonts w:ascii="Calibri" w:eastAsia="Times New Roman" w:hAnsi="Calibri" w:cs="Calibri"/>
                <w:bCs/>
                <w:sz w:val="24"/>
                <w:lang w:val="uk-UA"/>
              </w:rPr>
              <w:t>мстим</w:t>
            </w:r>
            <w:r w:rsidR="00757F4C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проти самого іпілімумабу</w:t>
            </w:r>
            <w:r w:rsidR="0024268E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</w:t>
            </w:r>
            <w:r w:rsidR="00757F4C">
              <w:rPr>
                <w:rFonts w:ascii="Calibri" w:eastAsia="Times New Roman" w:hAnsi="Calibri" w:cs="Calibri"/>
                <w:bCs/>
                <w:sz w:val="24"/>
                <w:lang w:val="uk-UA"/>
              </w:rPr>
              <w:t>для лікування</w:t>
            </w:r>
            <w:r w:rsidR="00E91D10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метастатичної меланоми : </w:t>
            </w:r>
            <w:r w:rsidR="0002071E">
              <w:rPr>
                <w:rFonts w:ascii="Calibri" w:eastAsia="Times New Roman" w:hAnsi="Calibri" w:cs="Calibri"/>
                <w:bCs/>
                <w:sz w:val="24"/>
                <w:lang w:val="uk-UA"/>
              </w:rPr>
              <w:t>рандомізоване</w:t>
            </w:r>
            <w:r w:rsidR="00D86460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клінічне дослідження</w:t>
            </w:r>
            <w:r w:rsidR="001075C8">
              <w:rPr>
                <w:rFonts w:ascii="Calibri" w:eastAsia="Times New Roman" w:hAnsi="Calibri" w:cs="Calibri"/>
                <w:bCs/>
                <w:sz w:val="24"/>
                <w:lang w:val="uk-UA"/>
              </w:rPr>
              <w:t>.</w:t>
            </w:r>
          </w:p>
          <w:p w14:paraId="222B9E81" w14:textId="77777777" w:rsidR="001075C8" w:rsidRDefault="001075C8" w:rsidP="001075C8">
            <w:pPr>
              <w:snapToGrid w:val="0"/>
              <w:jc w:val="both"/>
              <w:rPr>
                <w:rFonts w:ascii="Calibri" w:eastAsia="Times New Roman" w:hAnsi="Calibri" w:cs="Calibri"/>
                <w:bCs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ЗНАЧЕННЯ: </w:t>
            </w:r>
            <w:r w:rsidR="00770E31">
              <w:rPr>
                <w:rFonts w:ascii="Calibri" w:eastAsia="Times New Roman" w:hAnsi="Calibri" w:cs="Calibri"/>
                <w:bCs/>
                <w:sz w:val="24"/>
                <w:lang w:val="uk-UA"/>
              </w:rPr>
              <w:t>Блокада ц</w:t>
            </w:r>
            <w:r w:rsidRPr="001075C8">
              <w:rPr>
                <w:rFonts w:ascii="Calibri" w:eastAsia="Times New Roman" w:hAnsi="Calibri" w:cs="Calibri"/>
                <w:bCs/>
                <w:sz w:val="24"/>
                <w:lang w:val="uk-UA"/>
              </w:rPr>
              <w:t>итотоксичн</w:t>
            </w:r>
            <w:r w:rsidR="00770E31">
              <w:rPr>
                <w:rFonts w:ascii="Calibri" w:eastAsia="Times New Roman" w:hAnsi="Calibri" w:cs="Calibri"/>
                <w:bCs/>
                <w:sz w:val="24"/>
                <w:lang w:val="uk-UA"/>
              </w:rPr>
              <w:t>ого</w:t>
            </w:r>
            <w:r w:rsidRPr="001075C8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T-лімфоцит-зв'язан</w:t>
            </w:r>
            <w:r w:rsidR="00770E31">
              <w:rPr>
                <w:rFonts w:ascii="Calibri" w:eastAsia="Times New Roman" w:hAnsi="Calibri" w:cs="Calibri"/>
                <w:bCs/>
                <w:sz w:val="24"/>
                <w:lang w:val="uk-UA"/>
              </w:rPr>
              <w:t>ого</w:t>
            </w:r>
            <w:r w:rsidRPr="001075C8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антиген</w:t>
            </w:r>
            <w:r w:rsidR="00770E31">
              <w:rPr>
                <w:rFonts w:ascii="Calibri" w:eastAsia="Times New Roman" w:hAnsi="Calibri" w:cs="Calibri"/>
                <w:bCs/>
                <w:sz w:val="24"/>
                <w:lang w:val="uk-UA"/>
              </w:rPr>
              <w:t>а</w:t>
            </w:r>
            <w:r w:rsidRPr="001075C8">
              <w:rPr>
                <w:rFonts w:ascii="Calibri" w:eastAsia="Times New Roman" w:hAnsi="Calibri" w:cs="Calibri"/>
                <w:bCs/>
                <w:sz w:val="24"/>
                <w:lang w:val="uk-UA"/>
              </w:rPr>
              <w:t>-4 (CTLA-4)</w:t>
            </w:r>
            <w:r w:rsidR="00770E31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за допомогою іпілімабабу п</w:t>
            </w:r>
            <w:r w:rsidR="00844DF2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одовжує виживання у пацієнтів із метастатичною меланомою. </w:t>
            </w:r>
            <w:r w:rsidR="009B31A8">
              <w:rPr>
                <w:rFonts w:ascii="Calibri" w:eastAsia="Times New Roman" w:hAnsi="Calibri" w:cs="Calibri"/>
                <w:bCs/>
                <w:sz w:val="24"/>
                <w:lang w:val="uk-UA"/>
              </w:rPr>
              <w:t>Блокада СТ</w:t>
            </w:r>
            <w:r w:rsidR="009B31A8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LA-4 </w:t>
            </w:r>
            <w:r w:rsidR="009B31A8">
              <w:rPr>
                <w:rFonts w:ascii="Calibri" w:eastAsia="Times New Roman" w:hAnsi="Calibri" w:cs="Calibri"/>
                <w:bCs/>
                <w:sz w:val="24"/>
                <w:lang w:val="uk-UA"/>
              </w:rPr>
              <w:t>т</w:t>
            </w:r>
            <w:r w:rsidR="000A7A3D">
              <w:rPr>
                <w:rFonts w:ascii="Calibri" w:eastAsia="Times New Roman" w:hAnsi="Calibri" w:cs="Calibri"/>
                <w:bCs/>
                <w:sz w:val="24"/>
                <w:lang w:val="uk-UA"/>
              </w:rPr>
              <w:t>а</w:t>
            </w:r>
            <w:r w:rsidR="00300EDB" w:rsidRPr="00300EDB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комбінації пухлинних вакцин</w:t>
            </w:r>
            <w:r w:rsidR="0051539F">
              <w:rPr>
                <w:rFonts w:ascii="Calibri" w:eastAsia="Times New Roman" w:hAnsi="Calibri" w:cs="Calibri"/>
                <w:bCs/>
                <w:sz w:val="24"/>
                <w:lang w:val="uk-UA"/>
              </w:rPr>
              <w:t>, які секретують</w:t>
            </w:r>
            <w:r w:rsidR="000A7A3D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г</w:t>
            </w:r>
            <w:r w:rsidR="000A7A3D" w:rsidRPr="00300EDB">
              <w:rPr>
                <w:rFonts w:ascii="Calibri" w:eastAsia="Times New Roman" w:hAnsi="Calibri" w:cs="Calibri"/>
                <w:bCs/>
                <w:sz w:val="24"/>
                <w:lang w:val="uk-UA"/>
              </w:rPr>
              <w:t>ранулоцитарно-макрофагальн</w:t>
            </w:r>
            <w:r w:rsidR="000A7A3D">
              <w:rPr>
                <w:rFonts w:ascii="Calibri" w:eastAsia="Times New Roman" w:hAnsi="Calibri" w:cs="Calibri"/>
                <w:bCs/>
                <w:sz w:val="24"/>
                <w:lang w:val="uk-UA"/>
              </w:rPr>
              <w:t>ий</w:t>
            </w:r>
            <w:r w:rsidR="000A7A3D" w:rsidRPr="00300EDB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колонієстимулююч</w:t>
            </w:r>
            <w:r w:rsidR="000A7A3D">
              <w:rPr>
                <w:rFonts w:ascii="Calibri" w:eastAsia="Times New Roman" w:hAnsi="Calibri" w:cs="Calibri"/>
                <w:bCs/>
                <w:sz w:val="24"/>
                <w:lang w:val="uk-UA"/>
              </w:rPr>
              <w:t>ий</w:t>
            </w:r>
            <w:r w:rsidR="000A7A3D" w:rsidRPr="00300EDB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фактор (GM-CSF)</w:t>
            </w:r>
            <w:r w:rsidR="000A7A3D">
              <w:rPr>
                <w:rFonts w:ascii="Calibri" w:eastAsia="Times New Roman" w:hAnsi="Calibri" w:cs="Calibri"/>
                <w:bCs/>
                <w:sz w:val="24"/>
                <w:lang w:val="uk-UA"/>
              </w:rPr>
              <w:t>,</w:t>
            </w:r>
            <w:r w:rsidR="0051539F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</w:t>
            </w:r>
            <w:r w:rsidR="00300EDB" w:rsidRPr="00300EDB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демонструють терапевтичну синергію в доклінічних моделях.</w:t>
            </w:r>
            <w:r w:rsidR="007D3B99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 </w:t>
            </w:r>
            <w:r w:rsidR="007D3B99">
              <w:rPr>
                <w:rFonts w:ascii="Calibri" w:eastAsia="Times New Roman" w:hAnsi="Calibri" w:cs="Calibri"/>
                <w:bCs/>
                <w:sz w:val="24"/>
                <w:lang w:val="uk-UA"/>
              </w:rPr>
              <w:t>Ключовим питанням, яке залишилось без відповіді</w:t>
            </w:r>
            <w:r w:rsidR="00476808">
              <w:rPr>
                <w:rFonts w:ascii="Calibri" w:eastAsia="Times New Roman" w:hAnsi="Calibri" w:cs="Calibri"/>
                <w:bCs/>
                <w:sz w:val="24"/>
                <w:lang w:val="uk-UA"/>
              </w:rPr>
              <w:t>, є</w:t>
            </w:r>
            <w:r w:rsidR="00082D74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чи с</w:t>
            </w:r>
            <w:r w:rsidR="007A2DBF">
              <w:rPr>
                <w:rFonts w:ascii="Calibri" w:eastAsia="Times New Roman" w:hAnsi="Calibri" w:cs="Calibri"/>
                <w:bCs/>
                <w:sz w:val="24"/>
                <w:lang w:val="uk-UA"/>
              </w:rPr>
              <w:t>истемн</w:t>
            </w:r>
            <w:r w:rsidR="00D612E5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ий </w:t>
            </w:r>
            <w:r w:rsidR="00D612E5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GM-CSF ( </w:t>
            </w:r>
            <w:r w:rsidR="00D612E5">
              <w:rPr>
                <w:rFonts w:ascii="Calibri" w:eastAsia="Times New Roman" w:hAnsi="Calibri" w:cs="Calibri"/>
                <w:bCs/>
                <w:sz w:val="24"/>
                <w:lang w:val="uk-UA"/>
              </w:rPr>
              <w:t>сарг</w:t>
            </w:r>
            <w:r w:rsidR="002A783E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рамстим) посилює блокаду </w:t>
            </w:r>
            <w:r w:rsidR="002A783E">
              <w:rPr>
                <w:rFonts w:ascii="Calibri" w:eastAsia="Times New Roman" w:hAnsi="Calibri" w:cs="Calibri"/>
                <w:bCs/>
                <w:sz w:val="24"/>
                <w:lang w:val="en-US"/>
              </w:rPr>
              <w:t>CTLA-4.</w:t>
            </w:r>
          </w:p>
          <w:p w14:paraId="129D4574" w14:textId="64B1018A" w:rsidR="002A783E" w:rsidRDefault="00EA3CED" w:rsidP="001075C8">
            <w:pPr>
              <w:snapToGrid w:val="0"/>
              <w:jc w:val="both"/>
              <w:rPr>
                <w:rFonts w:ascii="Calibri" w:eastAsia="Times New Roman" w:hAnsi="Calibri" w:cs="Calibri"/>
                <w:bCs/>
                <w:sz w:val="24"/>
                <w:lang w:val="uk-UA"/>
              </w:rPr>
            </w:pPr>
            <w:r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КОНСТРУКЦІЯ, </w:t>
            </w:r>
            <w:r w:rsidR="00671645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ВСТАНОВЛЕННЯ ТА УЧАСНИКИ: </w:t>
            </w:r>
            <w:r w:rsidR="00BE18C1">
              <w:rPr>
                <w:rFonts w:ascii="Calibri" w:eastAsia="Times New Roman" w:hAnsi="Calibri" w:cs="Calibri"/>
                <w:bCs/>
                <w:sz w:val="24"/>
                <w:lang w:val="uk-UA"/>
              </w:rPr>
              <w:t>Група східних кооперативних онкологів</w:t>
            </w:r>
            <w:r w:rsidR="000064F9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(</w:t>
            </w:r>
            <w:r w:rsidR="000064F9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ECOG) </w:t>
            </w:r>
            <w:r w:rsidR="00626472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провела </w:t>
            </w:r>
            <w:r w:rsidR="003D0479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друге рандомізоване клінічне дослідження, засноване в США </w:t>
            </w:r>
            <w:r w:rsidR="003722C9">
              <w:rPr>
                <w:rFonts w:ascii="Calibri" w:eastAsia="Times New Roman" w:hAnsi="Calibri" w:cs="Calibri"/>
                <w:bCs/>
                <w:sz w:val="24"/>
                <w:lang w:val="uk-UA"/>
              </w:rPr>
              <w:t>з 28 грудня 2010</w:t>
            </w:r>
            <w:r w:rsidR="004271E1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р. до 28 липня 2011р., </w:t>
            </w:r>
            <w:r w:rsidR="00141C39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у </w:t>
            </w:r>
            <w:r w:rsidR="00FF295D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пацієнтів ( </w:t>
            </w:r>
            <w:r w:rsidR="00FF295D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N=245) </w:t>
            </w:r>
            <w:r w:rsidR="004226CF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із </w:t>
            </w:r>
            <w:r w:rsidR="00713D87">
              <w:rPr>
                <w:rFonts w:ascii="Calibri" w:eastAsia="Times New Roman" w:hAnsi="Calibri" w:cs="Calibri"/>
                <w:bCs/>
                <w:sz w:val="24"/>
                <w:lang w:val="uk-UA"/>
              </w:rPr>
              <w:t>не</w:t>
            </w:r>
            <w:r w:rsidR="001E579E">
              <w:rPr>
                <w:rFonts w:ascii="Calibri" w:eastAsia="Times New Roman" w:hAnsi="Calibri" w:cs="Calibri"/>
                <w:bCs/>
                <w:sz w:val="24"/>
                <w:lang w:val="uk-UA"/>
              </w:rPr>
              <w:t>резектабельними стадіями</w:t>
            </w:r>
            <w:r w:rsidR="008568E8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меланоми </w:t>
            </w:r>
            <w:r w:rsidR="001E579E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3 </w:t>
            </w:r>
            <w:r w:rsidR="00D51AFB">
              <w:rPr>
                <w:rFonts w:ascii="Calibri" w:eastAsia="Times New Roman" w:hAnsi="Calibri" w:cs="Calibri"/>
                <w:bCs/>
                <w:sz w:val="24"/>
                <w:lang w:val="uk-UA"/>
              </w:rPr>
              <w:t>або</w:t>
            </w:r>
            <w:r w:rsidR="001E579E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4</w:t>
            </w:r>
            <w:r w:rsidR="008568E8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, </w:t>
            </w:r>
            <w:r w:rsidR="00AA4E3B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щонайменше 1 попередня терапія, </w:t>
            </w:r>
            <w:r w:rsidR="00F935A9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відсутні метастази центральної нервової системи та </w:t>
            </w:r>
            <w:r w:rsidR="007948B3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статус </w:t>
            </w:r>
            <w:proofErr w:type="spellStart"/>
            <w:r w:rsidR="00272C33">
              <w:rPr>
                <w:rFonts w:ascii="Calibri" w:eastAsia="Times New Roman" w:hAnsi="Calibri" w:cs="Calibri"/>
                <w:bCs/>
                <w:sz w:val="24"/>
              </w:rPr>
              <w:t>виконання</w:t>
            </w:r>
            <w:proofErr w:type="spellEnd"/>
            <w:r w:rsidR="00272C33">
              <w:rPr>
                <w:rFonts w:ascii="Calibri" w:eastAsia="Times New Roman" w:hAnsi="Calibri" w:cs="Calibri"/>
                <w:bCs/>
                <w:sz w:val="24"/>
              </w:rPr>
              <w:t xml:space="preserve"> </w:t>
            </w:r>
            <w:r w:rsidR="00272C33">
              <w:rPr>
                <w:rFonts w:ascii="Calibri" w:eastAsia="Times New Roman" w:hAnsi="Calibri" w:cs="Calibri"/>
                <w:bCs/>
                <w:sz w:val="24"/>
                <w:lang w:val="hu-HU"/>
              </w:rPr>
              <w:t xml:space="preserve">ECOG </w:t>
            </w:r>
            <w:r w:rsidR="00A06B3B">
              <w:rPr>
                <w:rFonts w:ascii="Calibri" w:eastAsia="Times New Roman" w:hAnsi="Calibri" w:cs="Calibri"/>
                <w:bCs/>
                <w:sz w:val="24"/>
                <w:lang w:val="uk-UA"/>
              </w:rPr>
              <w:t>складає</w:t>
            </w:r>
            <w:r w:rsidR="00A51F90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</w:t>
            </w:r>
            <w:r w:rsidR="00A06B3B">
              <w:rPr>
                <w:rFonts w:ascii="Calibri" w:eastAsia="Times New Roman" w:hAnsi="Calibri" w:cs="Calibri"/>
                <w:bCs/>
                <w:sz w:val="24"/>
                <w:lang w:val="uk-UA"/>
              </w:rPr>
              <w:t>0 або 1.</w:t>
            </w:r>
          </w:p>
          <w:p w14:paraId="4BA5E81F" w14:textId="77777777" w:rsidR="00A51F90" w:rsidRDefault="00F37068" w:rsidP="001075C8">
            <w:pPr>
              <w:snapToGrid w:val="0"/>
              <w:jc w:val="both"/>
              <w:rPr>
                <w:rFonts w:ascii="Calibri" w:eastAsia="Times New Roman" w:hAnsi="Calibri" w:cs="Calibri"/>
                <w:bCs/>
                <w:sz w:val="24"/>
                <w:lang w:val="uk-UA"/>
              </w:rPr>
            </w:pPr>
            <w:r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ВТРУЧАННЯ: </w:t>
            </w:r>
            <w:r w:rsidR="004459B7">
              <w:rPr>
                <w:rFonts w:ascii="Calibri" w:eastAsia="Times New Roman" w:hAnsi="Calibri" w:cs="Calibri"/>
                <w:bCs/>
                <w:sz w:val="24"/>
                <w:lang w:val="uk-UA"/>
              </w:rPr>
              <w:t>Пацієнти бул</w:t>
            </w:r>
            <w:r w:rsidR="004B12DD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и рандомізовані для прийому </w:t>
            </w:r>
            <w:r w:rsidR="001D2D20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іпілімубабу, </w:t>
            </w:r>
            <w:r w:rsidR="00F366BC">
              <w:rPr>
                <w:rFonts w:ascii="Calibri" w:eastAsia="Times New Roman" w:hAnsi="Calibri" w:cs="Calibri"/>
                <w:bCs/>
                <w:sz w:val="24"/>
                <w:lang w:val="uk-UA"/>
              </w:rPr>
              <w:t>10 мг/кг</w:t>
            </w:r>
            <w:r w:rsidR="003407AA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</w:t>
            </w:r>
            <w:r w:rsidR="005B4AFE">
              <w:rPr>
                <w:rFonts w:ascii="Calibri" w:eastAsia="Times New Roman" w:hAnsi="Calibri" w:cs="Calibri"/>
                <w:bCs/>
                <w:sz w:val="24"/>
                <w:lang w:val="uk-UA"/>
              </w:rPr>
              <w:t>внутрішньовенно на 1 день плюс сарг</w:t>
            </w:r>
            <w:r w:rsidR="00C41EC8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рамстим, </w:t>
            </w:r>
            <w:r w:rsidR="003407AA">
              <w:rPr>
                <w:rFonts w:ascii="Calibri" w:eastAsia="Times New Roman" w:hAnsi="Calibri" w:cs="Calibri"/>
                <w:bCs/>
                <w:sz w:val="24"/>
                <w:lang w:val="uk-UA"/>
              </w:rPr>
              <w:t>250</w:t>
            </w:r>
            <w:r w:rsidR="00316F2D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мкг підшкірно, на 1 та 14 день </w:t>
            </w:r>
            <w:r w:rsidR="00ED355D">
              <w:rPr>
                <w:rFonts w:ascii="Calibri" w:eastAsia="Times New Roman" w:hAnsi="Calibri" w:cs="Calibri"/>
                <w:bCs/>
                <w:sz w:val="24"/>
                <w:lang w:val="uk-UA"/>
              </w:rPr>
              <w:t>21- денного циклу(</w:t>
            </w:r>
            <w:r w:rsidR="00ED355D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n=123) </w:t>
            </w:r>
            <w:r w:rsidR="00ED355D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проти </w:t>
            </w:r>
            <w:r w:rsidR="00030BEA">
              <w:rPr>
                <w:rFonts w:ascii="Calibri" w:eastAsia="Times New Roman" w:hAnsi="Calibri" w:cs="Calibri"/>
                <w:bCs/>
                <w:sz w:val="24"/>
                <w:lang w:val="uk-UA"/>
              </w:rPr>
              <w:t>самого іпілімубабу (</w:t>
            </w:r>
            <w:r w:rsidR="00030BEA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n=122). </w:t>
            </w:r>
            <w:r w:rsidR="00030BEA">
              <w:rPr>
                <w:rFonts w:ascii="Calibri" w:eastAsia="Times New Roman" w:hAnsi="Calibri" w:cs="Calibri"/>
                <w:bCs/>
                <w:sz w:val="24"/>
                <w:lang w:val="uk-UA"/>
              </w:rPr>
              <w:t>Лікування і</w:t>
            </w:r>
            <w:r w:rsidR="004F65E1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пілімубабом включало індукцію </w:t>
            </w:r>
            <w:r w:rsidR="00B90FCE">
              <w:rPr>
                <w:rFonts w:ascii="Calibri" w:eastAsia="Times New Roman" w:hAnsi="Calibri" w:cs="Calibri"/>
                <w:bCs/>
                <w:sz w:val="24"/>
                <w:lang w:val="uk-UA"/>
              </w:rPr>
              <w:t>на протязі 4 циклів з подальшою підтримкою кожен четвертий цикл.</w:t>
            </w:r>
          </w:p>
          <w:p w14:paraId="75AF9F74" w14:textId="77777777" w:rsidR="00B90FCE" w:rsidRDefault="007C50A1" w:rsidP="001075C8">
            <w:pPr>
              <w:snapToGrid w:val="0"/>
              <w:jc w:val="both"/>
              <w:rPr>
                <w:rFonts w:ascii="Calibri" w:eastAsia="Times New Roman" w:hAnsi="Calibri" w:cs="Calibri"/>
                <w:bCs/>
                <w:sz w:val="24"/>
                <w:lang w:val="uk-UA"/>
              </w:rPr>
            </w:pPr>
            <w:r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ОСНОВНІ РЕЗУЛЬТАТИ ТА ЗАХОДИ: </w:t>
            </w:r>
            <w:r w:rsidR="005D75A1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Первинна кінцева точка: порівняння </w:t>
            </w:r>
            <w:r w:rsidR="00BC3E98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тривалості загальної </w:t>
            </w:r>
            <w:r w:rsidR="00DF3D61">
              <w:rPr>
                <w:rFonts w:ascii="Calibri" w:eastAsia="Times New Roman" w:hAnsi="Calibri" w:cs="Calibri"/>
                <w:bCs/>
                <w:sz w:val="24"/>
                <w:lang w:val="uk-UA"/>
              </w:rPr>
              <w:t>вижтваності (</w:t>
            </w:r>
            <w:r w:rsidR="00DF3D61">
              <w:rPr>
                <w:rFonts w:ascii="Calibri" w:eastAsia="Times New Roman" w:hAnsi="Calibri" w:cs="Calibri"/>
                <w:bCs/>
                <w:sz w:val="24"/>
                <w:lang w:val="en-US"/>
              </w:rPr>
              <w:t>OS)</w:t>
            </w:r>
            <w:r w:rsidR="00DF3D61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. Вторинна кінцева точка: </w:t>
            </w:r>
            <w:r w:rsidR="00A96EC4">
              <w:rPr>
                <w:rFonts w:ascii="Calibri" w:eastAsia="Times New Roman" w:hAnsi="Calibri" w:cs="Calibri"/>
                <w:bCs/>
                <w:sz w:val="24"/>
                <w:lang w:val="uk-UA"/>
              </w:rPr>
              <w:t>виживаність без прогресування</w:t>
            </w:r>
            <w:r w:rsidR="004479A7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(PFS), </w:t>
            </w:r>
            <w:r w:rsidR="004479A7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швидкість відповіді, безпека та </w:t>
            </w:r>
            <w:r w:rsidR="002D5E0B">
              <w:rPr>
                <w:rFonts w:ascii="Calibri" w:eastAsia="Times New Roman" w:hAnsi="Calibri" w:cs="Calibri"/>
                <w:bCs/>
                <w:sz w:val="24"/>
                <w:lang w:val="uk-UA"/>
              </w:rPr>
              <w:t>переносимість.</w:t>
            </w:r>
          </w:p>
          <w:p w14:paraId="73882B23" w14:textId="0440A1B2" w:rsidR="002D5E0B" w:rsidRPr="00521135" w:rsidRDefault="002D5E0B" w:rsidP="001075C8">
            <w:pPr>
              <w:snapToGrid w:val="0"/>
              <w:jc w:val="both"/>
              <w:rPr>
                <w:rFonts w:ascii="Calibri" w:eastAsia="Times New Roman" w:hAnsi="Calibri" w:cs="Calibri"/>
                <w:bCs/>
                <w:sz w:val="24"/>
                <w:lang w:val="uk-UA"/>
              </w:rPr>
            </w:pPr>
            <w:r>
              <w:rPr>
                <w:rFonts w:ascii="Calibri" w:eastAsia="Times New Roman" w:hAnsi="Calibri" w:cs="Calibri"/>
                <w:bCs/>
                <w:sz w:val="24"/>
                <w:lang w:val="uk-UA"/>
              </w:rPr>
              <w:lastRenderedPageBreak/>
              <w:t>РЕЗУЛЬТАТИ:</w:t>
            </w:r>
            <w:r w:rsidR="004D4E42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Середнє значення </w:t>
            </w:r>
            <w:r w:rsidR="00767DFF" w:rsidRPr="00767DFF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спостереження склал</w:t>
            </w:r>
            <w:r w:rsidR="004D4E42">
              <w:rPr>
                <w:rFonts w:ascii="Calibri" w:eastAsia="Times New Roman" w:hAnsi="Calibri" w:cs="Calibri"/>
                <w:bCs/>
                <w:sz w:val="24"/>
                <w:lang w:val="uk-UA"/>
              </w:rPr>
              <w:t>о</w:t>
            </w:r>
            <w:r w:rsidR="00767DFF" w:rsidRPr="00767DFF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13,3 місяця (діапазон 0,03-19,9).</w:t>
            </w:r>
            <w:r w:rsidR="002E491F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Середнє значення </w:t>
            </w:r>
            <w:r w:rsidR="002E491F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OS </w:t>
            </w:r>
            <w:r w:rsidR="008213BA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станом на </w:t>
            </w:r>
            <w:r w:rsidR="002E491F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грудень 2012р. </w:t>
            </w:r>
            <w:r w:rsidR="008213BA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для іпілімубабу плюс </w:t>
            </w:r>
            <w:r w:rsidR="00E76782">
              <w:rPr>
                <w:rFonts w:ascii="Calibri" w:eastAsia="Times New Roman" w:hAnsi="Calibri" w:cs="Calibri"/>
                <w:bCs/>
                <w:sz w:val="24"/>
                <w:lang w:val="uk-UA"/>
              </w:rPr>
              <w:t>сарграмстим скало</w:t>
            </w:r>
            <w:r w:rsidR="00F81710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</w:t>
            </w:r>
            <w:r w:rsidR="00E76782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17.5 місяців (95% </w:t>
            </w:r>
            <w:r w:rsidR="00521135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CI, 14.9- </w:t>
            </w:r>
            <w:r w:rsidR="00521135">
              <w:rPr>
                <w:rFonts w:ascii="Calibri" w:eastAsia="Times New Roman" w:hAnsi="Calibri" w:cs="Calibri"/>
                <w:bCs/>
                <w:sz w:val="24"/>
                <w:lang w:val="uk-UA"/>
              </w:rPr>
              <w:t>не досягнуто) проти 12.7 місяців( 95%</w:t>
            </w:r>
            <w:r w:rsidR="00521135">
              <w:rPr>
                <w:rFonts w:ascii="Calibri" w:eastAsia="Times New Roman" w:hAnsi="Calibri" w:cs="Calibri"/>
                <w:bCs/>
                <w:sz w:val="24"/>
                <w:lang w:val="en-US"/>
              </w:rPr>
              <w:t>CI, 10.0</w:t>
            </w:r>
            <w:r w:rsidR="00521135">
              <w:rPr>
                <w:rFonts w:ascii="Calibri" w:eastAsia="Times New Roman" w:hAnsi="Calibri" w:cs="Calibri"/>
                <w:bCs/>
                <w:sz w:val="24"/>
                <w:lang w:val="uk-UA"/>
              </w:rPr>
              <w:t>- не досягнуто) для  іпілімубабу.</w:t>
            </w:r>
            <w:r w:rsidR="00B45FD7">
              <w:t xml:space="preserve"> </w:t>
            </w:r>
            <w:r w:rsidR="00B45FD7" w:rsidRPr="00B45FD7">
              <w:rPr>
                <w:rFonts w:ascii="Calibri" w:eastAsia="Times New Roman" w:hAnsi="Calibri" w:cs="Calibri"/>
                <w:bCs/>
                <w:sz w:val="24"/>
                <w:lang w:val="uk-UA"/>
              </w:rPr>
              <w:t>1-річна виживаність</w:t>
            </w:r>
            <w:r w:rsidR="00B45FD7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для</w:t>
            </w:r>
            <w:r w:rsidR="00B45FD7" w:rsidRPr="00B45FD7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іпілімумабу плюс сарграмстим склала 68,9% (95% </w:t>
            </w:r>
            <w:r w:rsidR="00B85DF0">
              <w:rPr>
                <w:rFonts w:ascii="Calibri" w:eastAsia="Times New Roman" w:hAnsi="Calibri" w:cs="Calibri"/>
                <w:bCs/>
                <w:sz w:val="24"/>
                <w:lang w:val="en-US"/>
              </w:rPr>
              <w:t>CI</w:t>
            </w:r>
            <w:r w:rsidR="00B45FD7" w:rsidRPr="00B45FD7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, 60,6% -85,5%) порівняно з 52,9% (95% </w:t>
            </w:r>
            <w:r w:rsidR="00B85DF0">
              <w:rPr>
                <w:rFonts w:ascii="Calibri" w:eastAsia="Times New Roman" w:hAnsi="Calibri" w:cs="Calibri"/>
                <w:bCs/>
                <w:sz w:val="24"/>
                <w:lang w:val="en-US"/>
              </w:rPr>
              <w:t>C</w:t>
            </w:r>
            <w:r w:rsidR="00B45FD7" w:rsidRPr="00B45FD7">
              <w:rPr>
                <w:rFonts w:ascii="Calibri" w:eastAsia="Times New Roman" w:hAnsi="Calibri" w:cs="Calibri"/>
                <w:bCs/>
                <w:sz w:val="24"/>
                <w:lang w:val="uk-UA"/>
              </w:rPr>
              <w:t>І, 43,6% -62,2%) тільки для іпілімумабу (стратифікований лог-ранг 1-сторонній  P = .01; коефіцієнт ризику смертності 0,64 [1-сторонній 90% повторюваний CI, не застосовується-0,90]).  Не було різниці в</w:t>
            </w:r>
            <w:r w:rsidR="00B85DF0">
              <w:rPr>
                <w:rFonts w:ascii="Calibri" w:eastAsia="Times New Roman" w:hAnsi="Calibri" w:cs="Calibri"/>
                <w:bCs/>
                <w:sz w:val="24"/>
                <w:lang w:val="en-US"/>
              </w:rPr>
              <w:t xml:space="preserve"> PFS</w:t>
            </w:r>
            <w:r w:rsidR="00B45FD7" w:rsidRPr="00B45FD7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.  Несприятливі події 3–5 класів спостерігалися у 44,9% (95% CI; 35,8% -54,4%) пацієнтів у групі </w:t>
            </w:r>
            <w:r w:rsidR="00B85DF0">
              <w:rPr>
                <w:rFonts w:ascii="Calibri" w:eastAsia="Times New Roman" w:hAnsi="Calibri" w:cs="Calibri"/>
                <w:bCs/>
                <w:sz w:val="24"/>
                <w:lang w:val="uk-UA"/>
              </w:rPr>
              <w:t>іпілім</w:t>
            </w:r>
            <w:r w:rsidR="00F81710">
              <w:rPr>
                <w:rFonts w:ascii="Calibri" w:eastAsia="Times New Roman" w:hAnsi="Calibri" w:cs="Calibri"/>
                <w:bCs/>
                <w:sz w:val="24"/>
                <w:lang w:val="uk-UA"/>
              </w:rPr>
              <w:t>убаб</w:t>
            </w:r>
            <w:r w:rsidR="00B45FD7" w:rsidRPr="00B45FD7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плюс </w:t>
            </w:r>
            <w:r w:rsidR="00F81710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сарграмстим </w:t>
            </w:r>
            <w:r w:rsidR="00B45FD7" w:rsidRPr="00B45FD7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проти 58,3% (95% CI, 49,0% -67,2%) пацієнті</w:t>
            </w:r>
            <w:r w:rsidR="00E156D6">
              <w:rPr>
                <w:rFonts w:ascii="Calibri" w:eastAsia="Times New Roman" w:hAnsi="Calibri" w:cs="Calibri"/>
                <w:bCs/>
                <w:sz w:val="24"/>
                <w:lang w:val="uk-UA"/>
              </w:rPr>
              <w:t>в у гр</w:t>
            </w:r>
            <w:r w:rsidR="00287B61">
              <w:rPr>
                <w:rFonts w:ascii="Calibri" w:eastAsia="Times New Roman" w:hAnsi="Calibri" w:cs="Calibri"/>
                <w:bCs/>
                <w:sz w:val="24"/>
                <w:lang w:val="uk-UA"/>
              </w:rPr>
              <w:t>упі тільки іпілімубаб</w:t>
            </w:r>
            <w:r w:rsidR="00B45FD7" w:rsidRPr="00B45FD7">
              <w:rPr>
                <w:rFonts w:ascii="Calibri" w:eastAsia="Times New Roman" w:hAnsi="Calibri" w:cs="Calibri"/>
                <w:bCs/>
                <w:sz w:val="24"/>
                <w:lang w:val="uk-UA"/>
              </w:rPr>
              <w:t xml:space="preserve">  (2-сторонній Р = 0,04).</w:t>
            </w:r>
          </w:p>
        </w:tc>
      </w:tr>
    </w:tbl>
    <w:p w14:paraId="76D5F2DD" w14:textId="77777777" w:rsidR="001F70B0" w:rsidRPr="00085644" w:rsidRDefault="0095459D">
      <w:pPr>
        <w:rPr>
          <w:rFonts w:ascii="Calibri" w:hAnsi="Calibri" w:cs="Calibri"/>
          <w:lang w:val="en-US"/>
        </w:rPr>
      </w:pPr>
    </w:p>
    <w:sectPr w:rsidR="001F70B0" w:rsidRPr="00085644" w:rsidSect="00E32742">
      <w:headerReference w:type="default" r:id="rId8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9427" w14:textId="77777777" w:rsidR="00C258E0" w:rsidRDefault="00C258E0" w:rsidP="00E32742">
      <w:pPr>
        <w:spacing w:after="0" w:line="240" w:lineRule="auto"/>
      </w:pPr>
      <w:r>
        <w:separator/>
      </w:r>
    </w:p>
  </w:endnote>
  <w:endnote w:type="continuationSeparator" w:id="0">
    <w:p w14:paraId="4E1D8523" w14:textId="77777777" w:rsidR="00C258E0" w:rsidRDefault="00C258E0" w:rsidP="00E3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2796" w14:textId="77777777" w:rsidR="00C258E0" w:rsidRDefault="00C258E0" w:rsidP="00E32742">
      <w:pPr>
        <w:spacing w:after="0" w:line="240" w:lineRule="auto"/>
      </w:pPr>
      <w:r>
        <w:separator/>
      </w:r>
    </w:p>
  </w:footnote>
  <w:footnote w:type="continuationSeparator" w:id="0">
    <w:p w14:paraId="313D7AA9" w14:textId="77777777" w:rsidR="00C258E0" w:rsidRDefault="00C258E0" w:rsidP="00E3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A96D" w14:textId="77777777" w:rsidR="00E32742" w:rsidRDefault="00370B31">
    <w:pPr>
      <w:pStyle w:val="Header"/>
      <w:rPr>
        <w:lang w:val="en-US"/>
      </w:rPr>
    </w:pPr>
    <w:r w:rsidRPr="00370B31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E0E0C67" wp14:editId="2BFEC2B5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838200" cy="838200"/>
          <wp:effectExtent l="0" t="0" r="0" b="0"/>
          <wp:wrapNone/>
          <wp:docPr id="1" name="Рисунок 1" descr="C:\Users\Evgeni\Dropbox\Логотипы\d874725d-6a49-4538-8761-5ea8b61c777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geni\Dropbox\Логотипы\d874725d-6a49-4538-8761-5ea8b61c777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C9243" w14:textId="77777777" w:rsidR="00370B31" w:rsidRDefault="00370B31">
    <w:pPr>
      <w:pStyle w:val="Header"/>
      <w:rPr>
        <w:lang w:val="en-US"/>
      </w:rPr>
    </w:pPr>
  </w:p>
  <w:p w14:paraId="0CD4021D" w14:textId="77777777" w:rsidR="00370B31" w:rsidRDefault="00370B31">
    <w:pPr>
      <w:pStyle w:val="Header"/>
      <w:rPr>
        <w:lang w:val="en-US"/>
      </w:rPr>
    </w:pPr>
  </w:p>
  <w:p w14:paraId="3C61C9FC" w14:textId="77777777" w:rsidR="00E32742" w:rsidRPr="00E32742" w:rsidRDefault="00E32742" w:rsidP="00370B31">
    <w:pPr>
      <w:pStyle w:val="Header"/>
      <w:jc w:val="center"/>
      <w:rPr>
        <w:lang w:val="en-US"/>
      </w:rPr>
    </w:pPr>
    <w:r>
      <w:rPr>
        <w:lang w:val="en-US"/>
      </w:rPr>
      <w:t>Eastern Europe Language Ser</w:t>
    </w:r>
    <w:r w:rsidR="00370B31">
      <w:rPr>
        <w:lang w:val="uk-UA"/>
      </w:rPr>
      <w:t>v</w:t>
    </w:r>
    <w:r>
      <w:rPr>
        <w:lang w:val="en-US"/>
      </w:rPr>
      <w:t>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417C4"/>
    <w:multiLevelType w:val="hybridMultilevel"/>
    <w:tmpl w:val="BF72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42"/>
    <w:rsid w:val="000064F9"/>
    <w:rsid w:val="0002071E"/>
    <w:rsid w:val="00026A69"/>
    <w:rsid w:val="00030BEA"/>
    <w:rsid w:val="00082D74"/>
    <w:rsid w:val="00085644"/>
    <w:rsid w:val="000A7A3D"/>
    <w:rsid w:val="000E1740"/>
    <w:rsid w:val="001075C8"/>
    <w:rsid w:val="0011753D"/>
    <w:rsid w:val="00141C39"/>
    <w:rsid w:val="001D2D20"/>
    <w:rsid w:val="001E579E"/>
    <w:rsid w:val="001E674F"/>
    <w:rsid w:val="002027F3"/>
    <w:rsid w:val="0024268E"/>
    <w:rsid w:val="00250530"/>
    <w:rsid w:val="00272C33"/>
    <w:rsid w:val="00287B61"/>
    <w:rsid w:val="00295B95"/>
    <w:rsid w:val="002A783E"/>
    <w:rsid w:val="002D5E0B"/>
    <w:rsid w:val="002E35D9"/>
    <w:rsid w:val="002E491F"/>
    <w:rsid w:val="00300EDB"/>
    <w:rsid w:val="00316F2D"/>
    <w:rsid w:val="00334552"/>
    <w:rsid w:val="003407AA"/>
    <w:rsid w:val="00370B31"/>
    <w:rsid w:val="003722C9"/>
    <w:rsid w:val="003D0479"/>
    <w:rsid w:val="004226CF"/>
    <w:rsid w:val="004271E1"/>
    <w:rsid w:val="004459B7"/>
    <w:rsid w:val="004479A7"/>
    <w:rsid w:val="00476808"/>
    <w:rsid w:val="00482D3B"/>
    <w:rsid w:val="004A2BBF"/>
    <w:rsid w:val="004B12DD"/>
    <w:rsid w:val="004D4E42"/>
    <w:rsid w:val="004E6D2D"/>
    <w:rsid w:val="004F65E1"/>
    <w:rsid w:val="004F7577"/>
    <w:rsid w:val="00500D18"/>
    <w:rsid w:val="0051539F"/>
    <w:rsid w:val="00521135"/>
    <w:rsid w:val="00557CD7"/>
    <w:rsid w:val="005B4AFE"/>
    <w:rsid w:val="005D75A1"/>
    <w:rsid w:val="006120EB"/>
    <w:rsid w:val="006236A9"/>
    <w:rsid w:val="00626472"/>
    <w:rsid w:val="00671645"/>
    <w:rsid w:val="006B5E05"/>
    <w:rsid w:val="006D10E4"/>
    <w:rsid w:val="006F1806"/>
    <w:rsid w:val="00701693"/>
    <w:rsid w:val="00701A76"/>
    <w:rsid w:val="00713D87"/>
    <w:rsid w:val="00757F4C"/>
    <w:rsid w:val="00767DFF"/>
    <w:rsid w:val="00770E31"/>
    <w:rsid w:val="007948B3"/>
    <w:rsid w:val="007A2DBF"/>
    <w:rsid w:val="007C1312"/>
    <w:rsid w:val="007C50A1"/>
    <w:rsid w:val="007D3B99"/>
    <w:rsid w:val="00807537"/>
    <w:rsid w:val="008213BA"/>
    <w:rsid w:val="00833BC9"/>
    <w:rsid w:val="00844DF2"/>
    <w:rsid w:val="008568E8"/>
    <w:rsid w:val="008F26A4"/>
    <w:rsid w:val="00931EEC"/>
    <w:rsid w:val="009B31A8"/>
    <w:rsid w:val="009B6C65"/>
    <w:rsid w:val="009E3E2C"/>
    <w:rsid w:val="009F4925"/>
    <w:rsid w:val="00A03B5C"/>
    <w:rsid w:val="00A06B3B"/>
    <w:rsid w:val="00A51F90"/>
    <w:rsid w:val="00A86417"/>
    <w:rsid w:val="00A96EC4"/>
    <w:rsid w:val="00AA4E3B"/>
    <w:rsid w:val="00AD04B0"/>
    <w:rsid w:val="00AE7C98"/>
    <w:rsid w:val="00B45FD7"/>
    <w:rsid w:val="00B52DDB"/>
    <w:rsid w:val="00B85DF0"/>
    <w:rsid w:val="00B90FCE"/>
    <w:rsid w:val="00BC3E98"/>
    <w:rsid w:val="00BE18C1"/>
    <w:rsid w:val="00C24C0E"/>
    <w:rsid w:val="00C258E0"/>
    <w:rsid w:val="00C41EC8"/>
    <w:rsid w:val="00CE2C90"/>
    <w:rsid w:val="00CE682C"/>
    <w:rsid w:val="00D02D53"/>
    <w:rsid w:val="00D51AFB"/>
    <w:rsid w:val="00D612E5"/>
    <w:rsid w:val="00D7701F"/>
    <w:rsid w:val="00D86460"/>
    <w:rsid w:val="00DC2066"/>
    <w:rsid w:val="00DC4833"/>
    <w:rsid w:val="00DC6B90"/>
    <w:rsid w:val="00DF3D61"/>
    <w:rsid w:val="00E156D6"/>
    <w:rsid w:val="00E32742"/>
    <w:rsid w:val="00E60F66"/>
    <w:rsid w:val="00E76782"/>
    <w:rsid w:val="00E91D10"/>
    <w:rsid w:val="00EA0B54"/>
    <w:rsid w:val="00EA3CED"/>
    <w:rsid w:val="00ED355D"/>
    <w:rsid w:val="00F21BBC"/>
    <w:rsid w:val="00F262B8"/>
    <w:rsid w:val="00F366BC"/>
    <w:rsid w:val="00F37068"/>
    <w:rsid w:val="00F81710"/>
    <w:rsid w:val="00F86CFF"/>
    <w:rsid w:val="00F935A9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1C96BA"/>
  <w15:chartTrackingRefBased/>
  <w15:docId w15:val="{26AE28A6-7167-47CD-A5E7-30EC1D20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1753D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274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uk-UA" w:eastAsia="ar-SA"/>
    </w:rPr>
  </w:style>
  <w:style w:type="paragraph" w:styleId="Header">
    <w:name w:val="header"/>
    <w:basedOn w:val="Normal"/>
    <w:link w:val="HeaderChar"/>
    <w:uiPriority w:val="99"/>
    <w:unhideWhenUsed/>
    <w:rsid w:val="00E327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42"/>
  </w:style>
  <w:style w:type="paragraph" w:styleId="Footer">
    <w:name w:val="footer"/>
    <w:basedOn w:val="Normal"/>
    <w:link w:val="FooterChar"/>
    <w:uiPriority w:val="99"/>
    <w:unhideWhenUsed/>
    <w:rsid w:val="00E327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42"/>
  </w:style>
  <w:style w:type="character" w:styleId="Hyperlink">
    <w:name w:val="Hyperlink"/>
    <w:basedOn w:val="DefaultParagraphFont"/>
    <w:uiPriority w:val="99"/>
    <w:unhideWhenUsed/>
    <w:rsid w:val="00D77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0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016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75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5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753D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customStyle="1" w:styleId="hr">
    <w:name w:val="hr"/>
    <w:basedOn w:val="Normal"/>
    <w:link w:val="hr0"/>
    <w:qFormat/>
    <w:rsid w:val="0011753D"/>
    <w:pPr>
      <w:pBdr>
        <w:bottom w:val="single" w:sz="4" w:space="1" w:color="AEAAAA" w:themeColor="background2" w:themeShade="BF"/>
      </w:pBdr>
      <w:spacing w:after="240" w:line="288" w:lineRule="auto"/>
      <w:jc w:val="both"/>
    </w:pPr>
    <w:rPr>
      <w:rFonts w:ascii="Arial" w:hAnsi="Arial"/>
      <w:sz w:val="12"/>
      <w:szCs w:val="24"/>
    </w:rPr>
  </w:style>
  <w:style w:type="character" w:customStyle="1" w:styleId="hr0">
    <w:name w:val="hr Знак"/>
    <w:basedOn w:val="DefaultParagraphFont"/>
    <w:link w:val="hr"/>
    <w:rsid w:val="0011753D"/>
    <w:rPr>
      <w:rFonts w:ascii="Arial" w:hAnsi="Arial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2F12-C557-F84D-A4BE-2AF9EB5E35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vika markovych</cp:lastModifiedBy>
  <cp:revision>2</cp:revision>
  <dcterms:created xsi:type="dcterms:W3CDTF">2019-08-14T20:15:00Z</dcterms:created>
  <dcterms:modified xsi:type="dcterms:W3CDTF">2019-08-14T20:15:00Z</dcterms:modified>
</cp:coreProperties>
</file>