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Страховые взносы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―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обязательные выплаты на пенсионное, медицинское страхование и обеспечение сотрудников фирмы, а также индивидуального предпринимателя. Согласно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ст. 419 НК РФ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частник вносит средства за себя и работников в том числе. С 2017 года администрирование за внесение средств и отчетностью взяла на себя налоговая служба.</w:t>
      </w:r>
    </w:p>
    <w:p>
      <w:pPr>
        <w:keepNext w:val="true"/>
        <w:keepLines w:val="true"/>
        <w:spacing w:before="36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Особенности уплаты страховых взносов для ИП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ИП иногда сотрудники не числятся, такие фирмы обозначаются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ИП без работников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Если в компании нет сотрудников, то частник вносит средства в налоговый бюджет за свое обеспечение. Таким образом, отчетность и уплата по страховым платежам делится на две категории.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Денежные отчисления бывают фиксированными, по тарифной ставке, а также льготными. Последние распространяются не на всех предпринимателей. Также бизнесмены снижают налоговые тарифы в зависимости от схемы обложения налогами.</w:t>
      </w:r>
    </w:p>
    <w:p>
      <w:pPr>
        <w:keepNext w:val="true"/>
        <w:keepLines w:val="true"/>
        <w:spacing w:before="36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Страховые взносы на различных СНО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Сниженные тарифы на внесение страховых средств варьируются от категории плательщика. В зависимости от схемы налогообложения и наличия сотрудников ИП сбавляет ставку. Но тариф пошлины уменьшают только на тот промежуток времени, в котором налог оплачивается.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8668" w:dyaOrig="3782">
          <v:rect xmlns:o="urn:schemas-microsoft-com:office:office" xmlns:v="urn:schemas-microsoft-com:vml" id="rectole0000000000" style="width:433.400000pt;height:189.1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keepNext w:val="true"/>
        <w:keepLines w:val="true"/>
        <w:spacing w:before="36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Льготы на уплату страховых взносов для ИП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Согласно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п.1 ст. 22 НК РФ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ФНС облагает льготами ИП после трех лет деятельности на основании проверок безопасности на предприятии и трат на страховое обеспечение. Максимальная скидка достигает 40%. Более 40% недопустима налоговым кодексом.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Тариф на страховые платежи убавляется для ИП, которые соответствуют установленным требованиям. Так, при максимальном размере суммарного размера платежей на ОПС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―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1 021 000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рублей, а на ОСС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―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815 000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рублей. Согласно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п. 1 ст. 427 НК РФ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пониженные ставки для категорий ИП следующие.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565"/>
        <w:gridCol w:w="1215"/>
        <w:gridCol w:w="1110"/>
        <w:gridCol w:w="1140"/>
      </w:tblGrid>
      <w:tr>
        <w:trPr>
          <w:trHeight w:val="1" w:hRule="atLeast"/>
          <w:jc w:val="left"/>
        </w:trPr>
        <w:tc>
          <w:tcPr>
            <w:tcW w:w="55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Категории плательщиков</w:t>
            </w:r>
          </w:p>
        </w:tc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ОПС, %</w:t>
            </w:r>
          </w:p>
        </w:tc>
        <w:tc>
          <w:tcPr>
            <w:tcW w:w="11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ОСС, %</w:t>
            </w:r>
          </w:p>
        </w:tc>
        <w:tc>
          <w:tcPr>
            <w:tcW w:w="1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ОМС, %</w:t>
            </w:r>
          </w:p>
        </w:tc>
      </w:tr>
      <w:tr>
        <w:trPr>
          <w:trHeight w:val="400" w:hRule="auto"/>
          <w:jc w:val="left"/>
        </w:trPr>
        <w:tc>
          <w:tcPr>
            <w:tcW w:w="55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ИП на УСН с определенным ОКВЭД</w:t>
            </w:r>
          </w:p>
        </w:tc>
        <w:tc>
          <w:tcPr>
            <w:tcW w:w="1215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11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4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400" w:hRule="auto"/>
          <w:jc w:val="left"/>
        </w:trPr>
        <w:tc>
          <w:tcPr>
            <w:tcW w:w="55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ИП на ЕНВД, занимающиеся фармацией</w:t>
            </w:r>
          </w:p>
        </w:tc>
        <w:tc>
          <w:tcPr>
            <w:tcW w:w="1215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4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00" w:hRule="auto"/>
          <w:jc w:val="left"/>
        </w:trPr>
        <w:tc>
          <w:tcPr>
            <w:tcW w:w="55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ИП на ПСН</w:t>
            </w:r>
          </w:p>
        </w:tc>
        <w:tc>
          <w:tcPr>
            <w:tcW w:w="1215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4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ИП, трудящиеся на ОЭЗ</w:t>
            </w:r>
          </w:p>
        </w:tc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1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2,9/1,8</w:t>
            </w:r>
          </w:p>
        </w:tc>
        <w:tc>
          <w:tcPr>
            <w:tcW w:w="11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5,1</w:t>
            </w:r>
          </w:p>
        </w:tc>
      </w:tr>
      <w:tr>
        <w:trPr>
          <w:trHeight w:val="400" w:hRule="auto"/>
          <w:jc w:val="left"/>
        </w:trPr>
        <w:tc>
          <w:tcPr>
            <w:tcW w:w="55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ИП-участники СЭЗ в Крыму</w:t>
            </w:r>
          </w:p>
        </w:tc>
        <w:tc>
          <w:tcPr>
            <w:tcW w:w="1215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11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1,5</w:t>
            </w:r>
          </w:p>
        </w:tc>
        <w:tc>
          <w:tcPr>
            <w:tcW w:w="114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0,1</w:t>
            </w:r>
          </w:p>
        </w:tc>
      </w:tr>
      <w:tr>
        <w:trPr>
          <w:trHeight w:val="400" w:hRule="auto"/>
          <w:jc w:val="left"/>
        </w:trPr>
        <w:tc>
          <w:tcPr>
            <w:tcW w:w="55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ИП, трудящиеся в зоне опережающего соц.экономического развития в РФ</w:t>
            </w:r>
          </w:p>
        </w:tc>
        <w:tc>
          <w:tcPr>
            <w:tcW w:w="1215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4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00" w:hRule="auto"/>
          <w:jc w:val="left"/>
        </w:trPr>
        <w:tc>
          <w:tcPr>
            <w:tcW w:w="55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ИП-жители порта во Владивостоке</w:t>
            </w:r>
          </w:p>
        </w:tc>
        <w:tc>
          <w:tcPr>
            <w:tcW w:w="1215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4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keepNext w:val="true"/>
        <w:keepLines w:val="true"/>
        <w:spacing w:before="36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Фиксированная ставка по взносам для ИП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Средства в налоговый бюджет по этому тарифу вносят все предприниматели с момента регистрации. СНО, наличие прибыли или сотрудников не влияет на сумму и обязанность уплаты средств. Закрепленные платежи на страхование включают в себя средства на пенсионное и медицинское обеспечение.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Зафиксированный тариф распространяется на индивидуальных предпринимателей, которые не выплачивают средства на страхование за сотрудников, а также ведут фермерское хозяйство. Таким образом, закрепленный тариф составляет: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620"/>
        <w:gridCol w:w="2760"/>
        <w:gridCol w:w="1635"/>
      </w:tblGrid>
      <w:tr>
        <w:trPr>
          <w:trHeight w:val="1" w:hRule="atLeast"/>
          <w:jc w:val="left"/>
        </w:trPr>
        <w:tc>
          <w:tcPr>
            <w:tcW w:w="4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Категории ИП</w:t>
            </w:r>
          </w:p>
        </w:tc>
        <w:tc>
          <w:tcPr>
            <w:tcW w:w="2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ОПС, руб.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ОМС, руб.</w:t>
            </w:r>
          </w:p>
        </w:tc>
      </w:tr>
      <w:tr>
        <w:trPr>
          <w:trHeight w:val="1" w:hRule="atLeast"/>
          <w:jc w:val="left"/>
        </w:trPr>
        <w:tc>
          <w:tcPr>
            <w:tcW w:w="4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Неплательщики при прибыли за отчетный промежуток:</w:t>
              <w:br/>
              <w:t xml:space="preserve">свыше 300 000 рублей</w:t>
              <w:br/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меньше 300 000 рублей</w:t>
            </w:r>
          </w:p>
        </w:tc>
        <w:tc>
          <w:tcPr>
            <w:tcW w:w="2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FFFFFF" w:val="clear"/>
              </w:rPr>
              <w:t xml:space="preserve">26 545 + 1%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FFFFFF" w:val="clear"/>
              </w:rPr>
              <w:t xml:space="preserve">от прибыли, но не более 8 х 26 545 = 212 360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FFFFFF" w:val="clear"/>
              </w:rPr>
              <w:t xml:space="preserve">26 545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5840</w:t>
            </w:r>
          </w:p>
        </w:tc>
      </w:tr>
      <w:tr>
        <w:trPr>
          <w:trHeight w:val="1" w:hRule="atLeast"/>
          <w:jc w:val="left"/>
        </w:trPr>
        <w:tc>
          <w:tcPr>
            <w:tcW w:w="4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КФХ (сумма умножается на число сотрудников вместе с предпринимателем)</w:t>
            </w:r>
          </w:p>
        </w:tc>
        <w:tc>
          <w:tcPr>
            <w:tcW w:w="2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26 545</w:t>
            </w:r>
          </w:p>
        </w:tc>
        <w:tc>
          <w:tcPr>
            <w:tcW w:w="16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5840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 некоторые периоды предприниматель вправе не уплачивать страховые средства. Например, будучи в декретном отпуске. В этой ситуации бизнесмен предоставляет в ИФНС свидетельство о рождении ребенка в качестве подтверждения.</w:t>
      </w:r>
    </w:p>
    <w:p>
      <w:pPr>
        <w:keepNext w:val="true"/>
        <w:keepLines w:val="true"/>
        <w:spacing w:before="36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Расчет страховых взносов для ИП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 2018 года для подсчета платежей на пенсионное, медицинское и обязательное страхование изменился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―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МРОТ в расчете отменен.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Индивидуальный предприниматель может выплачивать взносы на протяжении времени, которое числится в ЕГРИП. Если фирма прекратила свою деятельность раньше отчетного года, то и взносы перерассчитываются.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Пример с фиксированным платежом.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ИП без работников закрылся 14.04.2018. За отчетное время заработал 85 000 рублей. Значит закрепленный платеж за год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―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26 545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рублей. Рассчитываем суммарный размер средств за промежуток времени, которое бизнесмен работал.</w:t>
      </w:r>
    </w:p>
    <w:p>
      <w:pPr>
        <w:numPr>
          <w:ilvl w:val="0"/>
          <w:numId w:val="51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Подсчет ежемесячного взноса: 26 545 / 12 =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2212,08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рублей.</w:t>
      </w:r>
    </w:p>
    <w:p>
      <w:pPr>
        <w:numPr>
          <w:ilvl w:val="0"/>
          <w:numId w:val="51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Подсчет суммы за неполноценный месяц: 2212,08 / 30 дней х 14 =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1032,3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рублей.</w:t>
      </w:r>
    </w:p>
    <w:p>
      <w:pPr>
        <w:numPr>
          <w:ilvl w:val="0"/>
          <w:numId w:val="51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Подсчет взноса на ОПС за проработанный отчетный промежуток: 3 месяца х 2212,08 + 1032,3 =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7668,54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рублей.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Итого: сумма взноса на ОПС за неполноценный рабочий год бизнесмена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―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7668,54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рублей.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 работников предприниматель рассчитывает взносы аналогично, соблюдая тарифные ставки.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Результаты подсчетов бизнесмен отражает в бланке Единого расчета страховых взносов (РСВ).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870"/>
        <w:gridCol w:w="1590"/>
        <w:gridCol w:w="1695"/>
        <w:gridCol w:w="1845"/>
      </w:tblGrid>
      <w:tr>
        <w:trPr>
          <w:trHeight w:val="1" w:hRule="atLeast"/>
          <w:jc w:val="left"/>
        </w:trPr>
        <w:tc>
          <w:tcPr>
            <w:tcW w:w="387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Максимальная сумма для подсчета платежа</w:t>
            </w:r>
          </w:p>
        </w:tc>
        <w:tc>
          <w:tcPr>
            <w:tcW w:w="159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ОПС, %</w:t>
            </w:r>
          </w:p>
        </w:tc>
        <w:tc>
          <w:tcPr>
            <w:tcW w:w="1695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ОСС, %</w:t>
            </w:r>
          </w:p>
        </w:tc>
        <w:tc>
          <w:tcPr>
            <w:tcW w:w="1845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ОМС, %</w:t>
            </w:r>
          </w:p>
        </w:tc>
      </w:tr>
      <w:tr>
        <w:trPr>
          <w:trHeight w:val="400" w:hRule="auto"/>
          <w:jc w:val="left"/>
        </w:trPr>
        <w:tc>
          <w:tcPr>
            <w:tcW w:w="387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5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5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0" w:hRule="auto"/>
          <w:jc w:val="left"/>
        </w:trPr>
        <w:tc>
          <w:tcPr>
            <w:tcW w:w="38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До:</w:t>
              <w:br/>
              <w:t xml:space="preserve">ОПС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―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1 021 000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рублей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ОСС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―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815 000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рублей</w:t>
            </w:r>
          </w:p>
        </w:tc>
        <w:tc>
          <w:tcPr>
            <w:tcW w:w="15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1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2,9/1,8</w:t>
            </w:r>
          </w:p>
        </w:tc>
        <w:tc>
          <w:tcPr>
            <w:tcW w:w="1845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5,1</w:t>
            </w:r>
          </w:p>
        </w:tc>
      </w:tr>
      <w:tr>
        <w:trPr>
          <w:trHeight w:val="400" w:hRule="auto"/>
          <w:jc w:val="left"/>
        </w:trPr>
        <w:tc>
          <w:tcPr>
            <w:tcW w:w="38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Выше: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ОПС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―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1 021 000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рублей</w:t>
            </w:r>
          </w:p>
        </w:tc>
        <w:tc>
          <w:tcPr>
            <w:tcW w:w="15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―</w:t>
            </w:r>
          </w:p>
        </w:tc>
        <w:tc>
          <w:tcPr>
            <w:tcW w:w="1845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keepNext w:val="true"/>
        <w:keepLines w:val="true"/>
        <w:spacing w:before="36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Отчетность по страховым взносам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После внесения страховых отчислений, бизнесмен подтверждает процедуру на бумаге в установленных формах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―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декларациях и справках. Так, предприниматель подает ежемесячную, ежеквартальную и ежегодную отчетность в ФНС. В бланках прописываются доходы работников и списания средств на подоходный налог, а также на взносы за пенсионное и медицинское страхование.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Основной бланк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―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РСВ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―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сдают бизнесмены, у которых на предприятии есть сотрудники. Причем в бланке указываются расчеты за всех сотрудников, которые работали, работают или только начали работать у бизнесмена.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Декларации 6-НДФЛ и 2-НДФЛ подаются также только при наличии работников.</w:t>
      </w:r>
    </w:p>
    <w:p>
      <w:pPr>
        <w:keepNext w:val="true"/>
        <w:keepLines w:val="true"/>
        <w:spacing w:before="320" w:after="8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Как и куда сдавать отчеты по страховым платежам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Предприниматель подает отчеты в ФНС и ПФР, к которым прекреплен сам и где является страхователем. Бизнесмен подает документацию в эти инстанции, так как ИП регистрируется по месту регистрации самого частника, и является страхователем.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Заполненную документацию сдают:</w:t>
      </w:r>
    </w:p>
    <w:p>
      <w:pPr>
        <w:numPr>
          <w:ilvl w:val="0"/>
          <w:numId w:val="7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Самостоятельно или через посредника. Предприниматель сам относит заполненную документацию, получая расписку о получении у сотрудника ФНС. У посредника должна быть доверенность.</w:t>
      </w:r>
    </w:p>
    <w:p>
      <w:pPr>
        <w:numPr>
          <w:ilvl w:val="0"/>
          <w:numId w:val="7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Почтой РФ. Заполненные бланки отправляют заказным письмом, прилагая опись вложения.</w:t>
      </w:r>
    </w:p>
    <w:p>
      <w:pPr>
        <w:numPr>
          <w:ilvl w:val="0"/>
          <w:numId w:val="7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Электронной почтой (ТКС). Заполняя файл на ПК, частник форматирует документ в .xml. Этот формат защищает конфиденциальные сведения от хищения.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Если у ИП в фирме трудится более 25 человек, то выбирать способ отправки не нужно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―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разрешено только посредством ТКС.</w:t>
      </w:r>
    </w:p>
    <w:p>
      <w:pPr>
        <w:keepNext w:val="true"/>
        <w:keepLines w:val="true"/>
        <w:spacing w:before="320" w:after="8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Сроки сдачи отчетов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Предприниматель вносит средства и отчитывается за уплату на страхование ежемесячно, соответственно, отчитывается в эти же сроки. Сроки подачи заполненных отчетных бланков подают в том месяце, квартале или году, который следует за отчетным:</w:t>
      </w:r>
    </w:p>
    <w:p>
      <w:pPr>
        <w:numPr>
          <w:ilvl w:val="0"/>
          <w:numId w:val="78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ПФР (СЗВ-М) ежемесячно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―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 15 числа;</w:t>
      </w:r>
    </w:p>
    <w:p>
      <w:pPr>
        <w:numPr>
          <w:ilvl w:val="0"/>
          <w:numId w:val="78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ФСС (4-ФСС) ежеквартально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―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 20 числа;</w:t>
      </w:r>
    </w:p>
    <w:p>
      <w:pPr>
        <w:numPr>
          <w:ilvl w:val="0"/>
          <w:numId w:val="78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ФНС (6-НДФЛ, РСВ) ежеквартально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―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 30 или 31 числа;</w:t>
      </w:r>
    </w:p>
    <w:p>
      <w:pPr>
        <w:numPr>
          <w:ilvl w:val="0"/>
          <w:numId w:val="78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ФНС (2-НДФЛ) ежегодно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―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 1 апреля.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Потому согласно </w:t>
      </w:r>
      <w:hyperlink xmlns:r="http://schemas.openxmlformats.org/officeDocument/2006/relationships" r:id="docRId5">
        <w:r>
          <w:rPr>
            <w:rFonts w:ascii="Arial" w:hAnsi="Arial" w:cs="Arial" w:eastAsia="Aria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п. 4 ст. 22 ФЗ </w:t>
        </w:r>
        <w:r>
          <w:rPr>
            <w:rFonts w:ascii="Segoe UI Symbol" w:hAnsi="Segoe UI Symbol" w:cs="Segoe UI Symbol" w:eastAsia="Segoe UI Symbo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№</w:t>
        </w:r>
        <w:r>
          <w:rPr>
            <w:rFonts w:ascii="Arial" w:hAnsi="Arial" w:cs="Arial" w:eastAsia="Aria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 125 от 24.07.1998 (ред. 0.03.2018)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платежи на пенсионное, медицинское страхование, бизнесмен уплачивает до 15 числа того месяца, который следует за отчетным.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Сроки уплаты средств за страховку по закрепленному тарифу на 2018 год установлены Законодательством:</w:t>
      </w:r>
    </w:p>
    <w:p>
      <w:pPr>
        <w:numPr>
          <w:ilvl w:val="0"/>
          <w:numId w:val="80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ОПС при прибыли менее 300 000 рублей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―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 31 декабря указанного года, так как эта дата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―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выходной день, то уплата переносится на ближайший рабочий день 2019 года;</w:t>
      </w:r>
    </w:p>
    <w:p>
      <w:pPr>
        <w:numPr>
          <w:ilvl w:val="0"/>
          <w:numId w:val="80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ОПС при прибыли менее 300 000 рублей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―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 1 июля 2019 года;</w:t>
      </w:r>
    </w:p>
    <w:p>
      <w:pPr>
        <w:numPr>
          <w:ilvl w:val="0"/>
          <w:numId w:val="8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ОМС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―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 31 декабря указанного года. Оплата взноса переносится на ближайший рабочий день 2019 года, так как установленная дата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―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выходной день.</w:t>
      </w:r>
    </w:p>
    <w:p>
      <w:pPr>
        <w:keepNext w:val="true"/>
        <w:keepLines w:val="true"/>
        <w:spacing w:before="320" w:after="8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Штрафы за несвоевременную сдачу отчетности и уплаты страховых взносов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Если предприниматель опоздает с подачей заполненных бланков по тем или иным платежам, то это наказывается штрафом:</w:t>
      </w:r>
    </w:p>
    <w:p>
      <w:pPr>
        <w:numPr>
          <w:ilvl w:val="0"/>
          <w:numId w:val="8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просроченный отчет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―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5%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от суммарного размера начислений за каждый полноценный и неполноценный месяц просрочки. Но ФНС не вправе начислять больше 30% штрафа и не менее 1000 рублей (</w:t>
      </w:r>
      <w:hyperlink xmlns:r="http://schemas.openxmlformats.org/officeDocument/2006/relationships" r:id="docRId6">
        <w:r>
          <w:rPr>
            <w:rFonts w:ascii="Arial" w:hAnsi="Arial" w:cs="Arial" w:eastAsia="Aria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ст. 119 НК РФ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);</w:t>
      </w:r>
    </w:p>
    <w:p>
      <w:pPr>
        <w:numPr>
          <w:ilvl w:val="0"/>
          <w:numId w:val="8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неуплата или неполноценно внесенная сумма платежа из-за неправильного подсчета либо умышленный отказ от внесения средств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―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20%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от начисленной суммы, но не больше 40 000 рублей (</w:t>
      </w:r>
      <w:hyperlink xmlns:r="http://schemas.openxmlformats.org/officeDocument/2006/relationships" r:id="docRId7">
        <w:r>
          <w:rPr>
            <w:rFonts w:ascii="Arial" w:hAnsi="Arial" w:cs="Arial" w:eastAsia="Aria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ст. 122 НК РФ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);</w:t>
      </w:r>
    </w:p>
    <w:p>
      <w:pPr>
        <w:numPr>
          <w:ilvl w:val="0"/>
          <w:numId w:val="8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просроченное предоставление ложных или верных сведений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―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500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рублей за каждое физлицо (</w:t>
      </w:r>
      <w:hyperlink xmlns:r="http://schemas.openxmlformats.org/officeDocument/2006/relationships" r:id="docRId8">
        <w:r>
          <w:rPr>
            <w:rFonts w:ascii="Arial" w:hAnsi="Arial" w:cs="Arial" w:eastAsia="Aria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ст. 17 ФЗ </w:t>
        </w:r>
        <w:r>
          <w:rPr>
            <w:rFonts w:ascii="Segoe UI Symbol" w:hAnsi="Segoe UI Symbol" w:cs="Segoe UI Symbol" w:eastAsia="Segoe UI Symbo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№</w:t>
        </w:r>
        <w:r>
          <w:rPr>
            <w:rFonts w:ascii="Arial" w:hAnsi="Arial" w:cs="Arial" w:eastAsia="Aria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 27 от 01.04.1996 (ред. 29.07.2018)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 избежание денежных потерь в виде штрафов за просроченные платежи или неверный подсчет, предпринимателю рекомендовано вовремя уплачивать страховые взносы за себя и сотрудников. Также стоит учитывать СНО, которую бизнесмен использует для ведения бухучета.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51">
    <w:abstractNumId w:val="24"/>
  </w:num>
  <w:num w:numId="74">
    <w:abstractNumId w:val="18"/>
  </w:num>
  <w:num w:numId="78">
    <w:abstractNumId w:val="12"/>
  </w:num>
  <w:num w:numId="80">
    <w:abstractNumId w:val="6"/>
  </w:num>
  <w:num w:numId="8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consultant.ru/document/cons_doc_LAW_19559/08e74b4d74c4e346d83aa85a9473ae5f2ab91b7c/#dst100252" Id="docRId3" Type="http://schemas.openxmlformats.org/officeDocument/2006/relationships/hyperlink" /><Relationship TargetMode="External" Target="http://www.consultant.ru/document/cons_doc_LAW_19671/1bab8cfd8c4da82e8af44f7ebcbfa1716bac9586/" Id="docRId7" Type="http://schemas.openxmlformats.org/officeDocument/2006/relationships/hyperlink" /><Relationship TargetMode="External" Target="http://www.consultant.ru/document/cons_doc_LAW_28165/f4ff102a9228a8dad12c831ba03c457000a62d3c/#dst13385" Id="docRId0" Type="http://schemas.openxmlformats.org/officeDocument/2006/relationships/hyperlink" /><Relationship Target="styles.xml" Id="docRId10" Type="http://schemas.openxmlformats.org/officeDocument/2006/relationships/styles" /><Relationship Target="media/image0.wmf" Id="docRId2" Type="http://schemas.openxmlformats.org/officeDocument/2006/relationships/image" /><Relationship TargetMode="External" Target="http://www.consultant.ru/document/cons_doc_LAW_28165/c5c16c86f95c5db63601047b1c0a5942bd77c824/#dst13546" Id="docRId4" Type="http://schemas.openxmlformats.org/officeDocument/2006/relationships/hyperlink" /><Relationship TargetMode="External" Target="http://www.consultant.ru/document/cons_doc_LAW_19671/d9beb5691273fac122dfc8c6257fedd2b31116ca/" Id="docRId6" Type="http://schemas.openxmlformats.org/officeDocument/2006/relationships/hyperlink" /><Relationship TargetMode="External" Target="http://www.consultant.ru/document/cons_doc_LAW_9839/37a99b8023c40169c5d998d8f7d6d02e95f8869a/" Id="docRId8" Type="http://schemas.openxmlformats.org/officeDocument/2006/relationships/hyperlink" /><Relationship Target="embeddings/oleObject0.bin" Id="docRId1" Type="http://schemas.openxmlformats.org/officeDocument/2006/relationships/oleObject" /><Relationship TargetMode="External" Target="http://www.consultant.ru/document/cons_doc_LAW_19559/08e74b4d74c4e346d83aa85a9473ae5f2ab91b7c/#dst100252" Id="docRId5" Type="http://schemas.openxmlformats.org/officeDocument/2006/relationships/hyperlink" /><Relationship Target="numbering.xml" Id="docRId9" Type="http://schemas.openxmlformats.org/officeDocument/2006/relationships/numbering" /></Relationships>
</file>