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AB" w:rsidRPr="009C64CE" w:rsidRDefault="00D955AB" w:rsidP="00C1731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4CE">
        <w:rPr>
          <w:rFonts w:ascii="Times New Roman" w:eastAsia="Times New Roman" w:hAnsi="Times New Roman" w:cs="Times New Roman"/>
          <w:b/>
          <w:sz w:val="28"/>
          <w:szCs w:val="28"/>
        </w:rPr>
        <w:t>Бутеску О.П.</w:t>
      </w:r>
    </w:p>
    <w:p w:rsidR="00B52550" w:rsidRDefault="00C1731F" w:rsidP="00C1731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ФАКТОРЫ, ВЛИЯЮЩИЕ НА РАЗВИТИЕ</w:t>
      </w:r>
      <w:r w:rsidR="00B52550">
        <w:rPr>
          <w:rFonts w:ascii="Times New Roman" w:eastAsia="Times New Roman" w:hAnsi="Times New Roman" w:cs="Times New Roman"/>
          <w:b/>
          <w:sz w:val="28"/>
          <w:szCs w:val="28"/>
        </w:rPr>
        <w:t xml:space="preserve"> ЖЕНСКОГО БЕСПЛОДИЯ</w:t>
      </w:r>
    </w:p>
    <w:p w:rsidR="00D955AB" w:rsidRPr="009C64CE" w:rsidRDefault="00D955AB" w:rsidP="00C1731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64CE">
        <w:rPr>
          <w:rFonts w:ascii="Times New Roman" w:eastAsia="Times New Roman" w:hAnsi="Times New Roman" w:cs="Times New Roman"/>
          <w:sz w:val="28"/>
          <w:szCs w:val="28"/>
        </w:rPr>
        <w:t>Кафедра Фармакологии и Клинической Фармации</w:t>
      </w:r>
    </w:p>
    <w:p w:rsidR="00D955AB" w:rsidRPr="009C64CE" w:rsidRDefault="00D955AB" w:rsidP="00C1731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64CE">
        <w:rPr>
          <w:rFonts w:ascii="Times New Roman" w:eastAsia="Times New Roman" w:hAnsi="Times New Roman" w:cs="Times New Roman"/>
          <w:sz w:val="28"/>
          <w:szCs w:val="28"/>
        </w:rPr>
        <w:t>Государственный университет медицины и фармации «Н. Тестемицану»,</w:t>
      </w:r>
    </w:p>
    <w:p w:rsidR="00D955AB" w:rsidRPr="009C64CE" w:rsidRDefault="00D955AB" w:rsidP="00C1731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64CE">
        <w:rPr>
          <w:rFonts w:ascii="Times New Roman" w:eastAsia="Times New Roman" w:hAnsi="Times New Roman" w:cs="Times New Roman"/>
          <w:sz w:val="28"/>
          <w:szCs w:val="28"/>
        </w:rPr>
        <w:t>Кишинёв, Республика Молдова.</w:t>
      </w:r>
    </w:p>
    <w:p w:rsidR="00D955AB" w:rsidRPr="009C64CE" w:rsidRDefault="00BF1F1F" w:rsidP="00BF1F1F">
      <w:pPr>
        <w:tabs>
          <w:tab w:val="center" w:pos="4890"/>
          <w:tab w:val="left" w:pos="589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D955AB" w:rsidRPr="00BF1F1F" w:rsidRDefault="00D955AB" w:rsidP="00072E29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2550" w:rsidRDefault="00D955AB" w:rsidP="00C1731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4CE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  <w:r w:rsidRPr="00C04E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AE66A8" w:rsidRPr="00C04E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AE66A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1731F">
        <w:rPr>
          <w:rFonts w:ascii="Times New Roman" w:eastAsia="Times New Roman" w:hAnsi="Times New Roman" w:cs="Times New Roman"/>
          <w:sz w:val="28"/>
          <w:szCs w:val="28"/>
        </w:rPr>
        <w:t xml:space="preserve"> статье рассмотрены</w:t>
      </w:r>
      <w:r w:rsidR="00F87C80" w:rsidRPr="009C64C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B52550">
        <w:rPr>
          <w:rFonts w:ascii="Times New Roman" w:eastAsia="Times New Roman" w:hAnsi="Times New Roman" w:cs="Times New Roman"/>
          <w:sz w:val="28"/>
          <w:szCs w:val="28"/>
        </w:rPr>
        <w:t xml:space="preserve">ричины, сопровождающие </w:t>
      </w:r>
      <w:r w:rsidR="00AE66A8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B52550">
        <w:rPr>
          <w:rFonts w:ascii="Times New Roman" w:eastAsia="Times New Roman" w:hAnsi="Times New Roman" w:cs="Times New Roman"/>
          <w:sz w:val="28"/>
          <w:szCs w:val="28"/>
        </w:rPr>
        <w:t xml:space="preserve"> бесплоди</w:t>
      </w:r>
      <w:r w:rsidR="00AE66A8">
        <w:rPr>
          <w:rFonts w:ascii="Times New Roman" w:eastAsia="Times New Roman" w:hAnsi="Times New Roman" w:cs="Times New Roman"/>
          <w:sz w:val="28"/>
          <w:szCs w:val="28"/>
        </w:rPr>
        <w:t>я, а также некоторые аспекты медикаментозного лечения данных нарушений.  В</w:t>
      </w:r>
      <w:r w:rsidR="00AE66A8" w:rsidRPr="00FE6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6A8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="00AE66A8" w:rsidRPr="00FE6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6A8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="00AE66A8" w:rsidRPr="00FE6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6A8">
        <w:rPr>
          <w:rFonts w:ascii="Times New Roman" w:eastAsia="Times New Roman" w:hAnsi="Times New Roman" w:cs="Times New Roman"/>
          <w:sz w:val="28"/>
          <w:szCs w:val="28"/>
        </w:rPr>
        <w:t>изучены</w:t>
      </w:r>
      <w:r w:rsidR="00AE66A8" w:rsidRPr="00FE6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6A8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="00AE66A8" w:rsidRPr="00FE6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6A8">
        <w:rPr>
          <w:rFonts w:ascii="Times New Roman" w:eastAsia="Times New Roman" w:hAnsi="Times New Roman" w:cs="Times New Roman"/>
          <w:sz w:val="28"/>
          <w:szCs w:val="28"/>
        </w:rPr>
        <w:t>женского</w:t>
      </w:r>
      <w:r w:rsidR="00AE66A8" w:rsidRPr="00FE6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6A8">
        <w:rPr>
          <w:rFonts w:ascii="Times New Roman" w:eastAsia="Times New Roman" w:hAnsi="Times New Roman" w:cs="Times New Roman"/>
          <w:sz w:val="28"/>
          <w:szCs w:val="28"/>
        </w:rPr>
        <w:t>бесплодия</w:t>
      </w:r>
      <w:r w:rsidR="00FE68AD" w:rsidRPr="00FE68AD">
        <w:rPr>
          <w:rFonts w:ascii="Times New Roman" w:eastAsia="Times New Roman" w:hAnsi="Times New Roman" w:cs="Times New Roman"/>
          <w:sz w:val="28"/>
          <w:szCs w:val="28"/>
        </w:rPr>
        <w:t xml:space="preserve"> и влияние клинического фармацевта </w:t>
      </w:r>
      <w:r w:rsidR="00FE68AD">
        <w:rPr>
          <w:rFonts w:ascii="Times New Roman" w:eastAsia="Times New Roman" w:hAnsi="Times New Roman" w:cs="Times New Roman"/>
          <w:sz w:val="28"/>
          <w:szCs w:val="28"/>
        </w:rPr>
        <w:t>в мониторинге женского бесплодия.</w:t>
      </w:r>
    </w:p>
    <w:p w:rsidR="00FE68AD" w:rsidRPr="00FE68AD" w:rsidRDefault="00D955AB" w:rsidP="00C173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C64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Annotation</w:t>
      </w:r>
      <w:r w:rsidRPr="00AE66A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="00FE68AD" w:rsidRPr="00FE68AD">
        <w:rPr>
          <w:lang w:val="en-US"/>
        </w:rPr>
        <w:t xml:space="preserve">  </w:t>
      </w:r>
      <w:r w:rsidR="00FE68AD" w:rsidRPr="00FE68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article examines the reasons behind the development of infertility, as well as some aspects of drug treatment </w:t>
      </w:r>
      <w:r w:rsidR="00063F4D">
        <w:rPr>
          <w:rFonts w:ascii="Times New Roman" w:eastAsia="Times New Roman" w:hAnsi="Times New Roman" w:cs="Times New Roman"/>
          <w:sz w:val="28"/>
          <w:szCs w:val="28"/>
          <w:lang w:val="en-US"/>
        </w:rPr>
        <w:t>of these disorders. In this article deals with</w:t>
      </w:r>
      <w:r w:rsidR="00FE68AD" w:rsidRPr="00FE68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problems of female infertility and the influence of the clinical pharmacist in the monitoring of female infertility.</w:t>
      </w:r>
    </w:p>
    <w:p w:rsidR="00D955AB" w:rsidRPr="00C1731F" w:rsidRDefault="00D955AB" w:rsidP="00C1731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C64CE">
        <w:rPr>
          <w:rFonts w:ascii="Times New Roman" w:eastAsia="Times New Roman" w:hAnsi="Times New Roman" w:cs="Times New Roman"/>
          <w:b/>
          <w:sz w:val="28"/>
          <w:szCs w:val="28"/>
        </w:rPr>
        <w:t>Ключевые слова:</w:t>
      </w:r>
      <w:r w:rsidRPr="009C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31F">
        <w:rPr>
          <w:rFonts w:ascii="Times New Roman" w:eastAsia="Times New Roman" w:hAnsi="Times New Roman" w:cs="Times New Roman"/>
          <w:sz w:val="28"/>
          <w:szCs w:val="28"/>
        </w:rPr>
        <w:t xml:space="preserve">бесплодие, </w:t>
      </w:r>
      <w:r w:rsidR="00AE66A8">
        <w:rPr>
          <w:rFonts w:ascii="Times New Roman" w:eastAsia="Times New Roman" w:hAnsi="Times New Roman" w:cs="Times New Roman"/>
          <w:sz w:val="28"/>
          <w:szCs w:val="28"/>
        </w:rPr>
        <w:t>факторы риска</w:t>
      </w:r>
      <w:r w:rsidR="00C1731F">
        <w:rPr>
          <w:rFonts w:ascii="Times New Roman" w:eastAsia="Times New Roman" w:hAnsi="Times New Roman" w:cs="Times New Roman"/>
          <w:sz w:val="28"/>
          <w:szCs w:val="28"/>
        </w:rPr>
        <w:t>, клинический фармацевт</w:t>
      </w:r>
      <w:r w:rsidR="00171A49" w:rsidRPr="009C64CE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:rsidR="00D955AB" w:rsidRPr="00C1731F" w:rsidRDefault="00D955AB" w:rsidP="00C1731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173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Key words: </w:t>
      </w:r>
      <w:r w:rsidR="00171A49" w:rsidRPr="00C1731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infertility, </w:t>
      </w:r>
      <w:r w:rsidR="00C1731F" w:rsidRPr="00C1731F">
        <w:rPr>
          <w:rFonts w:ascii="Times New Roman" w:eastAsia="Times New Roman" w:hAnsi="Times New Roman" w:cs="Times New Roman"/>
          <w:sz w:val="28"/>
          <w:szCs w:val="28"/>
          <w:lang w:val="ro-RO"/>
        </w:rPr>
        <w:t>risk factors, clinical pharmacist.</w:t>
      </w:r>
    </w:p>
    <w:p w:rsidR="00D955AB" w:rsidRPr="009C64CE" w:rsidRDefault="00D955AB" w:rsidP="00072E2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955AB" w:rsidRPr="00C04E22" w:rsidRDefault="00D955AB" w:rsidP="00C1731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04E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Введение</w:t>
      </w:r>
    </w:p>
    <w:p w:rsidR="002E265D" w:rsidRPr="00C04E22" w:rsidRDefault="002E265D" w:rsidP="00C1731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4E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Бесплодие- это </w:t>
      </w:r>
      <w:r w:rsidRPr="00C04E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неспособность пары в детородном возрасте зачать ребёнка при регулярной половой жизни [</w:t>
      </w:r>
      <w:r w:rsidR="00C1731F" w:rsidRPr="00C04E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C04E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].</w:t>
      </w:r>
    </w:p>
    <w:p w:rsidR="00BC1720" w:rsidRPr="009C64CE" w:rsidRDefault="00BC1720" w:rsidP="00C1731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4CE">
        <w:rPr>
          <w:rFonts w:ascii="Times New Roman" w:hAnsi="Times New Roman" w:cs="Times New Roman"/>
          <w:sz w:val="28"/>
          <w:szCs w:val="28"/>
        </w:rPr>
        <w:t>В соответствии с данными Всемирной Организации Здравоохранения (ВОЗ), около 10-15% семейных пар страдают от первичного бесплодия на протяжении вс</w:t>
      </w:r>
      <w:r w:rsidR="00C1731F">
        <w:rPr>
          <w:rFonts w:ascii="Times New Roman" w:hAnsi="Times New Roman" w:cs="Times New Roman"/>
          <w:sz w:val="28"/>
          <w:szCs w:val="28"/>
        </w:rPr>
        <w:t>ей своей репродуктивной жизни [1</w:t>
      </w:r>
      <w:r w:rsidRPr="009C64CE">
        <w:rPr>
          <w:rFonts w:ascii="Times New Roman" w:hAnsi="Times New Roman" w:cs="Times New Roman"/>
          <w:sz w:val="28"/>
          <w:szCs w:val="28"/>
        </w:rPr>
        <w:t>]. Считается, если критический уровень превосходит 15%, проблема приобретает государственную значимость</w:t>
      </w:r>
      <w:r w:rsidR="00C1731F" w:rsidRPr="00C04E22">
        <w:rPr>
          <w:rFonts w:ascii="Times New Roman" w:hAnsi="Times New Roman" w:cs="Times New Roman"/>
          <w:sz w:val="28"/>
          <w:szCs w:val="28"/>
        </w:rPr>
        <w:t>[2]</w:t>
      </w:r>
      <w:r w:rsidRPr="009C64CE">
        <w:rPr>
          <w:rFonts w:ascii="Times New Roman" w:hAnsi="Times New Roman" w:cs="Times New Roman"/>
          <w:sz w:val="28"/>
          <w:szCs w:val="28"/>
        </w:rPr>
        <w:t xml:space="preserve">. </w:t>
      </w:r>
      <w:r w:rsidR="004A775C">
        <w:rPr>
          <w:rFonts w:ascii="Times New Roman" w:hAnsi="Times New Roman" w:cs="Times New Roman"/>
          <w:sz w:val="28"/>
          <w:szCs w:val="28"/>
        </w:rPr>
        <w:t xml:space="preserve"> </w:t>
      </w:r>
      <w:r w:rsidR="00495A50">
        <w:rPr>
          <w:rFonts w:ascii="Times New Roman" w:hAnsi="Times New Roman" w:cs="Times New Roman"/>
          <w:sz w:val="28"/>
          <w:szCs w:val="28"/>
        </w:rPr>
        <w:t xml:space="preserve">В связи с этим, было изучено влияние  некоторых факторов риска, а также  применение оральных контрацептивов, способствующих развитию данной патологии. </w:t>
      </w:r>
    </w:p>
    <w:p w:rsidR="00D955AB" w:rsidRPr="009C64CE" w:rsidRDefault="00D955AB" w:rsidP="00C1731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4CE">
        <w:rPr>
          <w:rFonts w:ascii="Times New Roman" w:hAnsi="Times New Roman" w:cs="Times New Roman"/>
          <w:b/>
          <w:sz w:val="28"/>
          <w:szCs w:val="28"/>
        </w:rPr>
        <w:lastRenderedPageBreak/>
        <w:t>Цель исследования</w:t>
      </w:r>
      <w:r w:rsidRPr="009C64CE">
        <w:rPr>
          <w:rFonts w:ascii="Times New Roman" w:hAnsi="Times New Roman" w:cs="Times New Roman"/>
          <w:sz w:val="28"/>
          <w:szCs w:val="28"/>
        </w:rPr>
        <w:t xml:space="preserve">– </w:t>
      </w:r>
      <w:r w:rsidR="00171A49" w:rsidRPr="009C64CE">
        <w:rPr>
          <w:rFonts w:ascii="Times New Roman" w:hAnsi="Times New Roman" w:cs="Times New Roman"/>
          <w:sz w:val="28"/>
          <w:szCs w:val="28"/>
        </w:rPr>
        <w:t xml:space="preserve">исследовать наиболее частые причины </w:t>
      </w:r>
      <w:r w:rsidR="00495A50">
        <w:rPr>
          <w:rFonts w:ascii="Times New Roman" w:hAnsi="Times New Roman" w:cs="Times New Roman"/>
          <w:sz w:val="28"/>
          <w:szCs w:val="28"/>
        </w:rPr>
        <w:t xml:space="preserve"> и факторы риска, влияющих на развитие </w:t>
      </w:r>
      <w:r w:rsidR="00171A49" w:rsidRPr="009C64CE">
        <w:rPr>
          <w:rFonts w:ascii="Times New Roman" w:hAnsi="Times New Roman" w:cs="Times New Roman"/>
          <w:sz w:val="28"/>
          <w:szCs w:val="28"/>
        </w:rPr>
        <w:t>женского бесплодия  на территории Республики Молдова</w:t>
      </w:r>
      <w:r w:rsidR="00FE68AD">
        <w:rPr>
          <w:rFonts w:ascii="Times New Roman" w:hAnsi="Times New Roman" w:cs="Times New Roman"/>
          <w:sz w:val="28"/>
          <w:szCs w:val="28"/>
        </w:rPr>
        <w:t>, роль клинического фармацевта в мониторинге медикаментозного лечения женского бесплодия.</w:t>
      </w:r>
    </w:p>
    <w:p w:rsidR="00D955AB" w:rsidRPr="009C64CE" w:rsidRDefault="00D955AB" w:rsidP="00C1731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4CE">
        <w:rPr>
          <w:rFonts w:ascii="Times New Roman" w:hAnsi="Times New Roman" w:cs="Times New Roman"/>
          <w:b/>
          <w:sz w:val="28"/>
          <w:szCs w:val="28"/>
        </w:rPr>
        <w:t>Материалы и методы исследования</w:t>
      </w:r>
    </w:p>
    <w:p w:rsidR="00516818" w:rsidRDefault="00516818" w:rsidP="00C1731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были изучены</w:t>
      </w:r>
      <w:r w:rsidR="00F336FF" w:rsidRPr="009C6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37 случаев женского бесплодия </w:t>
      </w:r>
      <w:r w:rsidR="00495A50">
        <w:rPr>
          <w:rFonts w:ascii="Times New Roman" w:hAnsi="Times New Roman" w:cs="Times New Roman"/>
          <w:sz w:val="28"/>
          <w:szCs w:val="28"/>
        </w:rPr>
        <w:t>в период 2014-2015</w:t>
      </w:r>
      <w:r w:rsidR="00E341D4" w:rsidRPr="009C64CE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001F84" w:rsidRPr="009C64CE">
        <w:rPr>
          <w:rFonts w:ascii="Times New Roman" w:hAnsi="Times New Roman" w:cs="Times New Roman"/>
          <w:sz w:val="28"/>
          <w:szCs w:val="28"/>
        </w:rPr>
        <w:t xml:space="preserve">в </w:t>
      </w:r>
      <w:r w:rsidR="00E341D4" w:rsidRPr="009C64CE">
        <w:rPr>
          <w:rFonts w:ascii="Times New Roman" w:hAnsi="Times New Roman" w:cs="Times New Roman"/>
          <w:sz w:val="28"/>
          <w:szCs w:val="28"/>
        </w:rPr>
        <w:t xml:space="preserve">Национальном центре Репродуктивного Здоровья и Медицинской Генетики в сотрудничестве с кафедрой </w:t>
      </w:r>
      <w:r>
        <w:rPr>
          <w:rFonts w:ascii="Times New Roman" w:hAnsi="Times New Roman" w:cs="Times New Roman"/>
          <w:sz w:val="28"/>
          <w:szCs w:val="28"/>
        </w:rPr>
        <w:t>Акушерства</w:t>
      </w:r>
      <w:r w:rsidR="00E341D4" w:rsidRPr="009C64CE">
        <w:rPr>
          <w:rFonts w:ascii="Times New Roman" w:hAnsi="Times New Roman" w:cs="Times New Roman"/>
          <w:sz w:val="28"/>
          <w:szCs w:val="28"/>
        </w:rPr>
        <w:t xml:space="preserve"> и Гинекологии №1.  </w:t>
      </w:r>
      <w:r w:rsidR="00171A49" w:rsidRPr="009C64CE">
        <w:rPr>
          <w:rFonts w:ascii="Times New Roman" w:hAnsi="Times New Roman" w:cs="Times New Roman"/>
          <w:sz w:val="28"/>
          <w:szCs w:val="28"/>
        </w:rPr>
        <w:t xml:space="preserve">Классифицированы </w:t>
      </w:r>
      <w:r w:rsidR="00495A50">
        <w:rPr>
          <w:rFonts w:ascii="Times New Roman" w:hAnsi="Times New Roman" w:cs="Times New Roman"/>
          <w:sz w:val="28"/>
          <w:szCs w:val="28"/>
        </w:rPr>
        <w:t>3</w:t>
      </w:r>
      <w:r w:rsidR="00171A49" w:rsidRPr="009C64CE">
        <w:rPr>
          <w:rFonts w:ascii="Times New Roman" w:hAnsi="Times New Roman" w:cs="Times New Roman"/>
          <w:sz w:val="28"/>
          <w:szCs w:val="28"/>
        </w:rPr>
        <w:t xml:space="preserve"> возрастные</w:t>
      </w:r>
      <w:r w:rsidR="00E341D4" w:rsidRPr="009C64CE">
        <w:rPr>
          <w:rFonts w:ascii="Times New Roman" w:hAnsi="Times New Roman" w:cs="Times New Roman"/>
          <w:sz w:val="28"/>
          <w:szCs w:val="28"/>
        </w:rPr>
        <w:t xml:space="preserve"> кате</w:t>
      </w:r>
      <w:r w:rsidR="00171A49" w:rsidRPr="009C64CE">
        <w:rPr>
          <w:rFonts w:ascii="Times New Roman" w:hAnsi="Times New Roman" w:cs="Times New Roman"/>
          <w:sz w:val="28"/>
          <w:szCs w:val="28"/>
        </w:rPr>
        <w:t>гории</w:t>
      </w:r>
      <w:r w:rsidR="00495A50">
        <w:rPr>
          <w:rFonts w:ascii="Times New Roman" w:hAnsi="Times New Roman" w:cs="Times New Roman"/>
          <w:sz w:val="28"/>
          <w:szCs w:val="28"/>
        </w:rPr>
        <w:t>: 20</w:t>
      </w:r>
      <w:r w:rsidR="00E341D4" w:rsidRPr="009C64CE">
        <w:rPr>
          <w:rFonts w:ascii="Times New Roman" w:hAnsi="Times New Roman" w:cs="Times New Roman"/>
          <w:sz w:val="28"/>
          <w:szCs w:val="28"/>
        </w:rPr>
        <w:t>-</w:t>
      </w:r>
      <w:r w:rsidR="00495A50">
        <w:rPr>
          <w:rFonts w:ascii="Times New Roman" w:hAnsi="Times New Roman" w:cs="Times New Roman"/>
          <w:sz w:val="28"/>
          <w:szCs w:val="28"/>
        </w:rPr>
        <w:t>30</w:t>
      </w:r>
      <w:r w:rsidR="00E341D4" w:rsidRPr="009C64CE">
        <w:rPr>
          <w:rFonts w:ascii="Times New Roman" w:hAnsi="Times New Roman" w:cs="Times New Roman"/>
          <w:sz w:val="28"/>
          <w:szCs w:val="28"/>
        </w:rPr>
        <w:t xml:space="preserve"> лет, </w:t>
      </w:r>
      <w:r w:rsidR="00495A50">
        <w:rPr>
          <w:rFonts w:ascii="Times New Roman" w:hAnsi="Times New Roman" w:cs="Times New Roman"/>
          <w:sz w:val="28"/>
          <w:szCs w:val="28"/>
        </w:rPr>
        <w:t xml:space="preserve"> </w:t>
      </w:r>
      <w:r w:rsidR="00E341D4" w:rsidRPr="009C64CE">
        <w:rPr>
          <w:rFonts w:ascii="Times New Roman" w:hAnsi="Times New Roman" w:cs="Times New Roman"/>
          <w:sz w:val="28"/>
          <w:szCs w:val="28"/>
        </w:rPr>
        <w:t xml:space="preserve"> 30-35 лет, и старше 35 лет. </w:t>
      </w:r>
      <w:r>
        <w:rPr>
          <w:rFonts w:ascii="Times New Roman" w:hAnsi="Times New Roman" w:cs="Times New Roman"/>
          <w:sz w:val="28"/>
          <w:szCs w:val="28"/>
        </w:rPr>
        <w:t xml:space="preserve"> Был проведён анализ </w:t>
      </w:r>
      <w:r w:rsidR="00495A50">
        <w:rPr>
          <w:rFonts w:ascii="Times New Roman" w:hAnsi="Times New Roman" w:cs="Times New Roman"/>
          <w:sz w:val="28"/>
          <w:szCs w:val="28"/>
        </w:rPr>
        <w:t xml:space="preserve">факторов риска и причин развития женского бесплодия данных возрастных категорий. </w:t>
      </w:r>
    </w:p>
    <w:p w:rsidR="00D955AB" w:rsidRPr="009C64CE" w:rsidRDefault="00171A49" w:rsidP="00C1731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4CE">
        <w:rPr>
          <w:rFonts w:ascii="Times New Roman" w:hAnsi="Times New Roman" w:cs="Times New Roman"/>
          <w:sz w:val="28"/>
          <w:szCs w:val="28"/>
        </w:rPr>
        <w:t xml:space="preserve"> </w:t>
      </w:r>
      <w:r w:rsidR="00D955AB" w:rsidRPr="009C64CE">
        <w:rPr>
          <w:rFonts w:ascii="Times New Roman" w:hAnsi="Times New Roman" w:cs="Times New Roman"/>
          <w:b/>
          <w:sz w:val="28"/>
          <w:szCs w:val="28"/>
        </w:rPr>
        <w:t>Результаты исследования и их обсуждение</w:t>
      </w:r>
    </w:p>
    <w:p w:rsidR="00375F46" w:rsidRPr="00C04E22" w:rsidRDefault="00574447" w:rsidP="00C1731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исследования показали, что на развитие и проявление данного заболевания влияют различные факторы такие как: раннее использование оральных контрацептивов,  нарушенный менструальный цикл и неко</w:t>
      </w:r>
      <w:r w:rsidR="00B00FD8">
        <w:rPr>
          <w:rFonts w:ascii="Times New Roman" w:hAnsi="Times New Roman" w:cs="Times New Roman"/>
          <w:sz w:val="28"/>
          <w:szCs w:val="28"/>
        </w:rPr>
        <w:t xml:space="preserve">торые гинекологические инфекции. </w:t>
      </w:r>
      <w:r w:rsidR="00B00FD8" w:rsidRPr="009C64CE">
        <w:rPr>
          <w:rFonts w:ascii="Times New Roman" w:hAnsi="Times New Roman" w:cs="Times New Roman"/>
          <w:sz w:val="28"/>
          <w:szCs w:val="28"/>
        </w:rPr>
        <w:t>Эти данные представлены в виде таблицы (табл.1).</w:t>
      </w:r>
    </w:p>
    <w:p w:rsidR="00C1731F" w:rsidRDefault="00C1731F" w:rsidP="00C1731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данных таблицы, такие факторы как гинекологические инфекции, нарушение менструального цикла и использование оральных контрацептивов наиболее характерны для первой возрастной категории (20-30 лет). Следует отметить, что влияние факторов стресса практически оказывает одинаковое влияние в отношении всех возрастных категорий. </w:t>
      </w:r>
    </w:p>
    <w:p w:rsidR="00C1731F" w:rsidRPr="00C04E22" w:rsidRDefault="00C1731F" w:rsidP="00C1731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E29" w:rsidRPr="009C64CE" w:rsidRDefault="00072E29" w:rsidP="00C1731F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C64CE">
        <w:rPr>
          <w:rFonts w:ascii="Times New Roman" w:hAnsi="Times New Roman" w:cs="Times New Roman"/>
          <w:sz w:val="28"/>
          <w:szCs w:val="28"/>
        </w:rPr>
        <w:t>Таблица 1.</w:t>
      </w:r>
    </w:p>
    <w:p w:rsidR="00072E29" w:rsidRPr="009C64CE" w:rsidRDefault="00B00FD8" w:rsidP="00C1731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влияющие на развитие женского бесплодия.</w:t>
      </w:r>
    </w:p>
    <w:tbl>
      <w:tblPr>
        <w:tblStyle w:val="a7"/>
        <w:tblW w:w="0" w:type="auto"/>
        <w:tblLook w:val="04A0"/>
      </w:tblPr>
      <w:tblGrid>
        <w:gridCol w:w="3534"/>
        <w:gridCol w:w="1552"/>
        <w:gridCol w:w="1863"/>
        <w:gridCol w:w="1349"/>
      </w:tblGrid>
      <w:tr w:rsidR="00B00FD8" w:rsidRPr="009C64CE" w:rsidTr="00C1731F">
        <w:trPr>
          <w:trHeight w:val="279"/>
        </w:trPr>
        <w:tc>
          <w:tcPr>
            <w:tcW w:w="3534" w:type="dxa"/>
            <w:tcBorders>
              <w:bottom w:val="single" w:sz="4" w:space="0" w:color="auto"/>
            </w:tcBorders>
          </w:tcPr>
          <w:p w:rsidR="00B00FD8" w:rsidRPr="009C64CE" w:rsidRDefault="00B00FD8" w:rsidP="00C17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4CE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B00FD8" w:rsidRPr="00B00FD8" w:rsidRDefault="00B00FD8" w:rsidP="00C17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4C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B00FD8" w:rsidRPr="00B00FD8" w:rsidRDefault="00B00FD8" w:rsidP="00C17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4C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B00FD8" w:rsidRPr="00B00FD8" w:rsidRDefault="00B00FD8" w:rsidP="00C17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4C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III</w:t>
            </w:r>
          </w:p>
        </w:tc>
      </w:tr>
      <w:tr w:rsidR="00B00FD8" w:rsidRPr="009C64CE" w:rsidTr="00C1731F">
        <w:trPr>
          <w:trHeight w:val="292"/>
        </w:trPr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</w:tcPr>
          <w:p w:rsidR="00B00FD8" w:rsidRPr="009C64CE" w:rsidRDefault="00B00FD8" w:rsidP="00C17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00FD8" w:rsidRPr="009C64CE" w:rsidRDefault="00B00FD8" w:rsidP="00C173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C6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C64CE">
              <w:rPr>
                <w:rFonts w:ascii="Times New Roman" w:hAnsi="Times New Roman" w:cs="Times New Roman"/>
                <w:sz w:val="28"/>
                <w:szCs w:val="28"/>
              </w:rPr>
              <w:t>-30 лет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B00FD8" w:rsidRPr="009C64CE" w:rsidRDefault="00B00FD8" w:rsidP="00C173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C64CE">
              <w:rPr>
                <w:rFonts w:ascii="Times New Roman" w:hAnsi="Times New Roman" w:cs="Times New Roman"/>
                <w:sz w:val="28"/>
                <w:szCs w:val="28"/>
              </w:rPr>
              <w:t>30-35 лет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B00FD8" w:rsidRPr="009C64CE" w:rsidRDefault="00B00FD8" w:rsidP="00C173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4CE">
              <w:rPr>
                <w:rFonts w:ascii="Times New Roman" w:hAnsi="Times New Roman" w:cs="Times New Roman"/>
                <w:sz w:val="28"/>
                <w:szCs w:val="28"/>
              </w:rPr>
              <w:t>Старше 35 лет</w:t>
            </w:r>
          </w:p>
        </w:tc>
      </w:tr>
      <w:tr w:rsidR="00B00FD8" w:rsidRPr="009C64CE" w:rsidTr="00C1731F">
        <w:trPr>
          <w:trHeight w:val="730"/>
        </w:trPr>
        <w:tc>
          <w:tcPr>
            <w:tcW w:w="3534" w:type="dxa"/>
            <w:tcBorders>
              <w:top w:val="single" w:sz="4" w:space="0" w:color="auto"/>
            </w:tcBorders>
          </w:tcPr>
          <w:p w:rsidR="00B00FD8" w:rsidRPr="009C64CE" w:rsidRDefault="00B00FD8" w:rsidP="00C17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4CE">
              <w:rPr>
                <w:rFonts w:ascii="Times New Roman" w:hAnsi="Times New Roman" w:cs="Times New Roman"/>
                <w:sz w:val="28"/>
                <w:szCs w:val="28"/>
              </w:rPr>
              <w:t>Количество случаев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B00FD8" w:rsidRPr="009C64CE" w:rsidRDefault="00B00FD8" w:rsidP="00C17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C64CE">
              <w:rPr>
                <w:rFonts w:ascii="Times New Roman" w:hAnsi="Times New Roman" w:cs="Times New Roman"/>
                <w:sz w:val="28"/>
                <w:szCs w:val="28"/>
              </w:rPr>
              <w:t xml:space="preserve"> случаев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B00FD8" w:rsidRPr="009C64CE" w:rsidRDefault="00B00FD8" w:rsidP="00C17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4CE">
              <w:rPr>
                <w:rFonts w:ascii="Times New Roman" w:hAnsi="Times New Roman" w:cs="Times New Roman"/>
                <w:sz w:val="28"/>
                <w:szCs w:val="28"/>
              </w:rPr>
              <w:t>13 случаев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B00FD8" w:rsidRPr="009C64CE" w:rsidRDefault="00B00FD8" w:rsidP="00C17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4CE">
              <w:rPr>
                <w:rFonts w:ascii="Times New Roman" w:hAnsi="Times New Roman" w:cs="Times New Roman"/>
                <w:sz w:val="28"/>
                <w:szCs w:val="28"/>
              </w:rPr>
              <w:t>7 случаев</w:t>
            </w:r>
          </w:p>
        </w:tc>
      </w:tr>
      <w:tr w:rsidR="00B00FD8" w:rsidRPr="009C64CE" w:rsidTr="00C1731F">
        <w:trPr>
          <w:trHeight w:val="982"/>
        </w:trPr>
        <w:tc>
          <w:tcPr>
            <w:tcW w:w="3534" w:type="dxa"/>
            <w:tcBorders>
              <w:top w:val="single" w:sz="4" w:space="0" w:color="auto"/>
            </w:tcBorders>
          </w:tcPr>
          <w:p w:rsidR="00B00FD8" w:rsidRPr="009C64CE" w:rsidRDefault="00B00FD8" w:rsidP="00C17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4CE">
              <w:rPr>
                <w:rFonts w:ascii="Times New Roman" w:hAnsi="Times New Roman" w:cs="Times New Roman"/>
                <w:sz w:val="28"/>
                <w:szCs w:val="28"/>
              </w:rPr>
              <w:t>Использование оральных контрацептивов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B00FD8" w:rsidRPr="009C64CE" w:rsidRDefault="00B00FD8" w:rsidP="00C17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64,7%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B00FD8" w:rsidRPr="009C64CE" w:rsidRDefault="00B00FD8" w:rsidP="00C17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30,7%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B00FD8" w:rsidRPr="009C64CE" w:rsidRDefault="00B00FD8" w:rsidP="00C17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14,3%</w:t>
            </w:r>
          </w:p>
        </w:tc>
      </w:tr>
      <w:tr w:rsidR="00B00FD8" w:rsidRPr="009C64CE" w:rsidTr="00C1731F">
        <w:trPr>
          <w:trHeight w:val="644"/>
        </w:trPr>
        <w:tc>
          <w:tcPr>
            <w:tcW w:w="3534" w:type="dxa"/>
          </w:tcPr>
          <w:p w:rsidR="00B00FD8" w:rsidRPr="009C64CE" w:rsidRDefault="00B00FD8" w:rsidP="00C17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 менструального</w:t>
            </w:r>
            <w:r w:rsidRPr="009C64CE">
              <w:rPr>
                <w:rFonts w:ascii="Times New Roman" w:hAnsi="Times New Roman" w:cs="Times New Roman"/>
                <w:sz w:val="28"/>
                <w:szCs w:val="28"/>
              </w:rPr>
              <w:t xml:space="preserve"> цикл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2" w:type="dxa"/>
          </w:tcPr>
          <w:p w:rsidR="00B00FD8" w:rsidRPr="009C64CE" w:rsidRDefault="00B00FD8" w:rsidP="00C17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58,8%</w:t>
            </w:r>
          </w:p>
        </w:tc>
        <w:tc>
          <w:tcPr>
            <w:tcW w:w="1863" w:type="dxa"/>
          </w:tcPr>
          <w:p w:rsidR="00B00FD8" w:rsidRPr="009C64CE" w:rsidRDefault="00B00FD8" w:rsidP="00C17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53,8%</w:t>
            </w:r>
          </w:p>
        </w:tc>
        <w:tc>
          <w:tcPr>
            <w:tcW w:w="1349" w:type="dxa"/>
          </w:tcPr>
          <w:p w:rsidR="00B00FD8" w:rsidRPr="009C64CE" w:rsidRDefault="00B00FD8" w:rsidP="00C17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28,5%</w:t>
            </w:r>
          </w:p>
        </w:tc>
      </w:tr>
      <w:tr w:rsidR="00B00FD8" w:rsidRPr="009C64CE" w:rsidTr="00C1731F">
        <w:trPr>
          <w:trHeight w:val="1153"/>
        </w:trPr>
        <w:tc>
          <w:tcPr>
            <w:tcW w:w="3534" w:type="dxa"/>
          </w:tcPr>
          <w:p w:rsidR="00B00FD8" w:rsidRPr="009C64CE" w:rsidRDefault="00B00FD8" w:rsidP="00C17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Хронические гинекологические заболевания или инфекции</w:t>
            </w:r>
          </w:p>
        </w:tc>
        <w:tc>
          <w:tcPr>
            <w:tcW w:w="1552" w:type="dxa"/>
          </w:tcPr>
          <w:p w:rsidR="00B00FD8" w:rsidRPr="009C64CE" w:rsidRDefault="00B00FD8" w:rsidP="00C17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70,6%</w:t>
            </w:r>
          </w:p>
        </w:tc>
        <w:tc>
          <w:tcPr>
            <w:tcW w:w="1863" w:type="dxa"/>
          </w:tcPr>
          <w:p w:rsidR="00B00FD8" w:rsidRPr="009C64CE" w:rsidRDefault="00B00FD8" w:rsidP="00C17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46,1%</w:t>
            </w:r>
          </w:p>
        </w:tc>
        <w:tc>
          <w:tcPr>
            <w:tcW w:w="1349" w:type="dxa"/>
          </w:tcPr>
          <w:p w:rsidR="00B00FD8" w:rsidRPr="009C64CE" w:rsidRDefault="00B00FD8" w:rsidP="00C17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14,2%</w:t>
            </w:r>
          </w:p>
        </w:tc>
      </w:tr>
      <w:tr w:rsidR="00B00FD8" w:rsidRPr="009C64CE" w:rsidTr="00C1731F">
        <w:trPr>
          <w:trHeight w:val="231"/>
        </w:trPr>
        <w:tc>
          <w:tcPr>
            <w:tcW w:w="3534" w:type="dxa"/>
            <w:tcBorders>
              <w:top w:val="single" w:sz="4" w:space="0" w:color="auto"/>
            </w:tcBorders>
          </w:tcPr>
          <w:p w:rsidR="00B00FD8" w:rsidRPr="009C64CE" w:rsidRDefault="00B00FD8" w:rsidP="00C17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 с</w:t>
            </w:r>
            <w:r w:rsidRPr="009C64CE">
              <w:rPr>
                <w:rFonts w:ascii="Times New Roman" w:hAnsi="Times New Roman" w:cs="Times New Roman"/>
                <w:sz w:val="28"/>
                <w:szCs w:val="28"/>
              </w:rPr>
              <w:t>тресс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B00FD8" w:rsidRPr="009C64CE" w:rsidRDefault="00B00FD8" w:rsidP="00C17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88,2%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B00FD8" w:rsidRPr="009C64CE" w:rsidRDefault="00B00FD8" w:rsidP="00C17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76,9%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B00FD8" w:rsidRPr="009C64CE" w:rsidRDefault="00A231B8" w:rsidP="00C17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85,7%</w:t>
            </w:r>
          </w:p>
        </w:tc>
      </w:tr>
    </w:tbl>
    <w:p w:rsidR="00072E29" w:rsidRPr="009C64CE" w:rsidRDefault="00072E29" w:rsidP="00C1731F">
      <w:pPr>
        <w:spacing w:line="240" w:lineRule="auto"/>
        <w:jc w:val="both"/>
        <w:rPr>
          <w:rFonts w:ascii="Times New Roman" w:hAnsi="Times New Roman" w:cs="Times New Roman"/>
        </w:rPr>
      </w:pPr>
    </w:p>
    <w:p w:rsidR="00A231B8" w:rsidRDefault="00A231B8" w:rsidP="00C1731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фармакотерапевтических средств пациенты использованы такие препараты как Прегнил, Овитрелл, которые входят в состав групп</w:t>
      </w:r>
      <w:r w:rsidR="00FE68AD">
        <w:rPr>
          <w:rFonts w:ascii="Times New Roman" w:hAnsi="Times New Roman" w:cs="Times New Roman"/>
          <w:sz w:val="28"/>
          <w:szCs w:val="28"/>
        </w:rPr>
        <w:t>ы хорионических гонадотропинов. Также положительный эффект наблюдается при применении препаратов: Кломед, Клостилбегит, входящие  в группу эстрогенов и гестагенов. Значительный эффект оказывают препараты из группы ингибиторов ароматазы, такие как Фемара и Летрозол.</w:t>
      </w:r>
    </w:p>
    <w:p w:rsidR="00FE68AD" w:rsidRDefault="00FE68AD" w:rsidP="00C1731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время, следует указать, что клинический фармацевт или провизор участвует  в формировании политики применения лекарственных препаратов в медикаментозном лечении женского бесплодия, что играет огромную роль в решении данной проблемы.</w:t>
      </w:r>
      <w:r w:rsidR="00FF77B7">
        <w:rPr>
          <w:rFonts w:ascii="Times New Roman" w:hAnsi="Times New Roman" w:cs="Times New Roman"/>
          <w:sz w:val="28"/>
          <w:szCs w:val="28"/>
        </w:rPr>
        <w:t xml:space="preserve"> Данный специалист является источником  точной и объективной информ</w:t>
      </w:r>
      <w:r w:rsidR="00C04E22">
        <w:rPr>
          <w:rFonts w:ascii="Times New Roman" w:hAnsi="Times New Roman" w:cs="Times New Roman"/>
          <w:sz w:val="28"/>
          <w:szCs w:val="28"/>
        </w:rPr>
        <w:t>ации  в выявлении факторов риска</w:t>
      </w:r>
      <w:r w:rsidR="00FF77B7">
        <w:rPr>
          <w:rFonts w:ascii="Times New Roman" w:hAnsi="Times New Roman" w:cs="Times New Roman"/>
          <w:sz w:val="28"/>
          <w:szCs w:val="28"/>
        </w:rPr>
        <w:t>, а также в принципах проведения фармакотерапии, определяя эффективность лечения и адекватного выбора лекарственных средств, доз</w:t>
      </w:r>
      <w:r w:rsidR="008D7D7E">
        <w:rPr>
          <w:rFonts w:ascii="Times New Roman" w:hAnsi="Times New Roman" w:cs="Times New Roman"/>
          <w:sz w:val="28"/>
          <w:szCs w:val="28"/>
        </w:rPr>
        <w:t xml:space="preserve"> и режима их применения</w:t>
      </w:r>
      <w:r w:rsidR="00FF77B7">
        <w:rPr>
          <w:rFonts w:ascii="Times New Roman" w:hAnsi="Times New Roman" w:cs="Times New Roman"/>
          <w:sz w:val="28"/>
          <w:szCs w:val="28"/>
        </w:rPr>
        <w:t>.</w:t>
      </w:r>
    </w:p>
    <w:p w:rsidR="00D955AB" w:rsidRPr="009C64CE" w:rsidRDefault="00D955AB" w:rsidP="00C173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4CE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D955AB" w:rsidRPr="009C64CE" w:rsidRDefault="008D7D7E" w:rsidP="00C1731F">
      <w:pPr>
        <w:pStyle w:val="a6"/>
        <w:numPr>
          <w:ilvl w:val="0"/>
          <w:numId w:val="7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Женское б</w:t>
      </w:r>
      <w:r w:rsidR="00B137FD" w:rsidRPr="009C64CE">
        <w:rPr>
          <w:rFonts w:ascii="Times New Roman" w:hAnsi="Times New Roman" w:cs="Times New Roman"/>
          <w:sz w:val="28"/>
          <w:szCs w:val="28"/>
        </w:rPr>
        <w:t>есплодие</w:t>
      </w:r>
      <w:r w:rsidR="002E265D">
        <w:rPr>
          <w:rFonts w:ascii="Times New Roman" w:hAnsi="Times New Roman" w:cs="Times New Roman"/>
          <w:sz w:val="28"/>
          <w:szCs w:val="28"/>
        </w:rPr>
        <w:t xml:space="preserve"> является социальной</w:t>
      </w:r>
      <w:r>
        <w:rPr>
          <w:rFonts w:ascii="Times New Roman" w:hAnsi="Times New Roman" w:cs="Times New Roman"/>
          <w:sz w:val="28"/>
          <w:szCs w:val="28"/>
        </w:rPr>
        <w:t xml:space="preserve"> и медицинской</w:t>
      </w:r>
      <w:r w:rsidR="002E265D">
        <w:rPr>
          <w:rFonts w:ascii="Times New Roman" w:hAnsi="Times New Roman" w:cs="Times New Roman"/>
          <w:sz w:val="28"/>
          <w:szCs w:val="28"/>
        </w:rPr>
        <w:t xml:space="preserve"> проблемой </w:t>
      </w:r>
      <w:r>
        <w:rPr>
          <w:rFonts w:ascii="Times New Roman" w:hAnsi="Times New Roman" w:cs="Times New Roman"/>
          <w:sz w:val="28"/>
          <w:szCs w:val="28"/>
        </w:rPr>
        <w:t>для Республики Молдова, актуальность которой растёт с</w:t>
      </w:r>
      <w:r w:rsidR="00B137FD" w:rsidRPr="009C64CE">
        <w:rPr>
          <w:rFonts w:ascii="Times New Roman" w:hAnsi="Times New Roman" w:cs="Times New Roman"/>
          <w:sz w:val="28"/>
          <w:szCs w:val="28"/>
        </w:rPr>
        <w:t xml:space="preserve"> каждым годом.</w:t>
      </w:r>
    </w:p>
    <w:p w:rsidR="00B137FD" w:rsidRPr="009C64CE" w:rsidRDefault="008D7D7E" w:rsidP="00C1731F">
      <w:pPr>
        <w:pStyle w:val="a6"/>
        <w:numPr>
          <w:ilvl w:val="0"/>
          <w:numId w:val="7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B137FD" w:rsidRPr="009C64CE">
        <w:rPr>
          <w:rFonts w:ascii="Times New Roman" w:hAnsi="Times New Roman" w:cs="Times New Roman"/>
          <w:sz w:val="28"/>
          <w:szCs w:val="28"/>
        </w:rPr>
        <w:t>енщины в возрасте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B137FD" w:rsidRPr="009C64CE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>0</w:t>
      </w:r>
      <w:r w:rsidR="00B137FD" w:rsidRPr="009C64CE">
        <w:rPr>
          <w:rFonts w:ascii="Times New Roman" w:hAnsi="Times New Roman" w:cs="Times New Roman"/>
          <w:sz w:val="28"/>
          <w:szCs w:val="28"/>
        </w:rPr>
        <w:t xml:space="preserve"> лет в большей степени страдают бесплодием.</w:t>
      </w:r>
    </w:p>
    <w:p w:rsidR="00B137FD" w:rsidRDefault="008D7D7E" w:rsidP="00C1731F">
      <w:pPr>
        <w:pStyle w:val="a6"/>
        <w:numPr>
          <w:ilvl w:val="0"/>
          <w:numId w:val="7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Факторами</w:t>
      </w:r>
      <w:r w:rsidR="00B137FD" w:rsidRPr="009C64CE">
        <w:rPr>
          <w:rFonts w:ascii="Times New Roman" w:hAnsi="Times New Roman" w:cs="Times New Roman"/>
          <w:sz w:val="28"/>
          <w:szCs w:val="28"/>
        </w:rPr>
        <w:t>, которые негативно влияют на женскую фертильность, являются</w:t>
      </w:r>
      <w:r>
        <w:rPr>
          <w:rFonts w:ascii="Times New Roman" w:hAnsi="Times New Roman" w:cs="Times New Roman"/>
          <w:sz w:val="28"/>
          <w:szCs w:val="28"/>
        </w:rPr>
        <w:t xml:space="preserve"> раннее </w:t>
      </w:r>
      <w:r w:rsidR="00B137FD" w:rsidRPr="009C64CE">
        <w:rPr>
          <w:rFonts w:ascii="Times New Roman" w:hAnsi="Times New Roman" w:cs="Times New Roman"/>
          <w:sz w:val="28"/>
          <w:szCs w:val="28"/>
        </w:rPr>
        <w:t>использование оральных контрацептивов, хронические гинекологические заболевания и инфекции</w:t>
      </w:r>
      <w:r w:rsidR="00072E29" w:rsidRPr="009C64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нарушения менструального цикла</w:t>
      </w:r>
      <w:r w:rsidR="00B137FD" w:rsidRPr="009C64CE">
        <w:rPr>
          <w:rFonts w:ascii="Times New Roman" w:hAnsi="Times New Roman" w:cs="Times New Roman"/>
          <w:sz w:val="28"/>
          <w:szCs w:val="28"/>
        </w:rPr>
        <w:t>.</w:t>
      </w:r>
    </w:p>
    <w:p w:rsidR="00D955AB" w:rsidRPr="00B71EAA" w:rsidRDefault="00D955AB" w:rsidP="00C1731F">
      <w:pPr>
        <w:spacing w:line="240" w:lineRule="auto"/>
        <w:ind w:left="1134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64C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D7D7E" w:rsidRPr="00365FD3" w:rsidRDefault="008D7D7E" w:rsidP="00C1731F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0" w:name="_Ref457307971"/>
      <w:r w:rsidRPr="00365F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Cеrnеțchi</w:t>
      </w:r>
      <w:r w:rsidR="004F1312" w:rsidRPr="00365F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365F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О.</w:t>
      </w:r>
      <w:r w:rsidR="004F1312" w:rsidRPr="00365F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</w:t>
      </w:r>
      <w:r w:rsidRPr="00365F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Fа</w:t>
      </w:r>
      <w:r w:rsidR="000D205A" w:rsidRPr="00365F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rmаcо</w:t>
      </w:r>
      <w:r w:rsidRPr="00365F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și fitоtеrаpiа în ginеcоlоg</w:t>
      </w:r>
      <w:r w:rsidR="00C9615D" w:rsidRPr="00365F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iе</w:t>
      </w:r>
      <w:r w:rsidR="00C9615D" w:rsidRPr="00365F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 </w:t>
      </w:r>
      <w:r w:rsidR="00C9615D" w:rsidRPr="00365F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9615D" w:rsidRPr="00365F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C9615D" w:rsidRPr="00365F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Cеrnеțchi</w:t>
      </w:r>
      <w:r w:rsidR="00C9615D" w:rsidRPr="00365F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="00C9615D" w:rsidRPr="00365F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V.Gоncеаr</w:t>
      </w:r>
      <w:r w:rsidR="00C9615D" w:rsidRPr="00365F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="00C9615D" w:rsidRPr="00365F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V. Cаzаcu</w:t>
      </w:r>
      <w:r w:rsidR="004F1312" w:rsidRPr="00365F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="00C9615D" w:rsidRPr="00365F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// </w:t>
      </w:r>
      <w:r w:rsidR="004F1312" w:rsidRPr="00365F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C9615D" w:rsidRPr="00365F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</w:t>
      </w:r>
      <w:r w:rsidR="000D205A" w:rsidRPr="00365F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urs dе prеlеgеri. </w:t>
      </w:r>
      <w:r w:rsidRPr="00365F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2013</w:t>
      </w:r>
      <w:r w:rsidR="00C9615D" w:rsidRPr="00365F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365FD3" w:rsidRPr="00365F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0D205A" w:rsidRPr="00365F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P.</w:t>
      </w:r>
      <w:r w:rsidR="000D205A" w:rsidRPr="00365F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174</w:t>
      </w:r>
      <w:r w:rsidR="000D205A" w:rsidRPr="00365F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–</w:t>
      </w:r>
      <w:r w:rsidR="000D205A" w:rsidRPr="00365F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365F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175.</w:t>
      </w:r>
    </w:p>
    <w:bookmarkEnd w:id="0"/>
    <w:p w:rsidR="00BC1720" w:rsidRPr="00365FD3" w:rsidRDefault="006F6D2F" w:rsidP="000D205A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65F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Nascimento</w:t>
      </w:r>
      <w:r w:rsidR="004F1312" w:rsidRPr="00365F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R., </w:t>
      </w:r>
      <w:r w:rsidR="000D205A" w:rsidRPr="00365F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Infertility Genetic factors, treatment risks and benefits, social and psychological consequences</w:t>
      </w:r>
      <w:r w:rsidR="000D205A" w:rsidRPr="00365FD3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</w:t>
      </w:r>
      <w:r w:rsidR="004F1312" w:rsidRPr="00365FD3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/ R. Nascimento</w:t>
      </w:r>
      <w:r w:rsidRPr="00365F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="004F1312" w:rsidRPr="00365F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C6DD1" w:rsidRPr="00365F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F1312" w:rsidRPr="00365F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H.V. Boas// </w:t>
      </w:r>
      <w:r w:rsidR="002C6DD1" w:rsidRPr="00365F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Nova Science Publishers.</w:t>
      </w:r>
      <w:r w:rsidR="004F1312" w:rsidRPr="00365F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365F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2013</w:t>
      </w:r>
      <w:r w:rsidR="002C6DD1" w:rsidRPr="00365F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="000D205A" w:rsidRPr="00365F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C6DD1" w:rsidRPr="00365F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0D205A" w:rsidRPr="00365F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.153</w:t>
      </w:r>
      <w:r w:rsidR="002C6DD1" w:rsidRPr="00365F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</w:p>
    <w:p w:rsidR="008E3B83" w:rsidRPr="00365FD3" w:rsidRDefault="002C6DD1" w:rsidP="00C1731F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FD3">
        <w:rPr>
          <w:rFonts w:ascii="Times New Roman" w:hAnsi="Times New Roman" w:cs="Times New Roman"/>
          <w:sz w:val="28"/>
          <w:szCs w:val="28"/>
          <w:shd w:val="clear" w:color="auto" w:fill="FFFFFF"/>
        </w:rPr>
        <w:t>Савельева Г.М.</w:t>
      </w:r>
      <w:r w:rsidRPr="00365FD3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,</w:t>
      </w:r>
      <w:r w:rsidR="008E3B83" w:rsidRPr="00365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Г</w:t>
      </w:r>
      <w:r w:rsidRPr="00365FD3">
        <w:rPr>
          <w:rFonts w:ascii="Times New Roman" w:hAnsi="Times New Roman" w:cs="Times New Roman"/>
          <w:sz w:val="28"/>
          <w:szCs w:val="28"/>
          <w:shd w:val="clear" w:color="auto" w:fill="FFFFFF"/>
        </w:rPr>
        <w:t>инекология</w:t>
      </w:r>
      <w:r w:rsidRPr="00365FD3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/ </w:t>
      </w:r>
      <w:r w:rsidRPr="00365FD3">
        <w:rPr>
          <w:rFonts w:ascii="Times New Roman" w:hAnsi="Times New Roman" w:cs="Times New Roman"/>
          <w:sz w:val="28"/>
          <w:szCs w:val="28"/>
          <w:shd w:val="clear" w:color="auto" w:fill="FFFFFF"/>
        </w:rPr>
        <w:t>Г.М. Савельева //</w:t>
      </w:r>
      <w:r w:rsidR="008E3B83" w:rsidRPr="00365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3B83" w:rsidRPr="00365FD3">
        <w:rPr>
          <w:rFonts w:ascii="Times New Roman" w:hAnsi="Times New Roman" w:cs="Times New Roman"/>
          <w:sz w:val="28"/>
          <w:szCs w:val="28"/>
        </w:rPr>
        <w:t>М.: ГЭОТАР</w:t>
      </w:r>
      <w:r w:rsidR="00365FD3" w:rsidRPr="00365F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365FD3" w:rsidRPr="00365FD3">
        <w:rPr>
          <w:rFonts w:ascii="Times New Roman" w:hAnsi="Times New Roman" w:cs="Times New Roman"/>
          <w:sz w:val="28"/>
          <w:szCs w:val="28"/>
        </w:rPr>
        <w:t xml:space="preserve"> </w:t>
      </w:r>
      <w:r w:rsidR="008E3B83" w:rsidRPr="00365FD3">
        <w:rPr>
          <w:rFonts w:ascii="Times New Roman" w:hAnsi="Times New Roman" w:cs="Times New Roman"/>
          <w:sz w:val="28"/>
          <w:szCs w:val="28"/>
        </w:rPr>
        <w:t>МЕД</w:t>
      </w:r>
      <w:r w:rsidRPr="00365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r w:rsidR="000D205A" w:rsidRPr="00365F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</w:t>
      </w:r>
      <w:r w:rsidR="008E3B83" w:rsidRPr="00365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2012</w:t>
      </w:r>
      <w:r w:rsidRPr="00365FD3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0D205A" w:rsidRPr="00365F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D205A" w:rsidRPr="00365F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</w:t>
      </w:r>
      <w:r w:rsidR="000D205A" w:rsidRPr="00365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5FD3">
        <w:rPr>
          <w:rFonts w:ascii="Times New Roman" w:hAnsi="Times New Roman" w:cs="Times New Roman"/>
          <w:sz w:val="28"/>
          <w:szCs w:val="28"/>
          <w:shd w:val="clear" w:color="auto" w:fill="FFFFFF"/>
        </w:rPr>
        <w:t>с. 704</w:t>
      </w:r>
      <w:r w:rsidR="008E3B83" w:rsidRPr="00365F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8E3B83" w:rsidRPr="00365FD3" w:rsidSect="00B67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9A2" w:rsidRDefault="00B819A2" w:rsidP="00C1731F">
      <w:pPr>
        <w:spacing w:after="0" w:line="240" w:lineRule="auto"/>
      </w:pPr>
      <w:r>
        <w:separator/>
      </w:r>
    </w:p>
  </w:endnote>
  <w:endnote w:type="continuationSeparator" w:id="1">
    <w:p w:rsidR="00B819A2" w:rsidRDefault="00B819A2" w:rsidP="00C1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9A2" w:rsidRDefault="00B819A2" w:rsidP="00C1731F">
      <w:pPr>
        <w:spacing w:after="0" w:line="240" w:lineRule="auto"/>
      </w:pPr>
      <w:r>
        <w:separator/>
      </w:r>
    </w:p>
  </w:footnote>
  <w:footnote w:type="continuationSeparator" w:id="1">
    <w:p w:rsidR="00B819A2" w:rsidRDefault="00B819A2" w:rsidP="00C17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1D8"/>
    <w:multiLevelType w:val="hybridMultilevel"/>
    <w:tmpl w:val="8362C24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E05373"/>
    <w:multiLevelType w:val="hybridMultilevel"/>
    <w:tmpl w:val="B060FA44"/>
    <w:lvl w:ilvl="0" w:tplc="B4744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B11C2F"/>
    <w:multiLevelType w:val="hybridMultilevel"/>
    <w:tmpl w:val="49DE3B6E"/>
    <w:lvl w:ilvl="0" w:tplc="EE328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3D1C0A"/>
    <w:multiLevelType w:val="hybridMultilevel"/>
    <w:tmpl w:val="998278CA"/>
    <w:lvl w:ilvl="0" w:tplc="AE6CD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F9345C"/>
    <w:multiLevelType w:val="hybridMultilevel"/>
    <w:tmpl w:val="164EFE8C"/>
    <w:lvl w:ilvl="0" w:tplc="D60AE8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BB27C5"/>
    <w:multiLevelType w:val="hybridMultilevel"/>
    <w:tmpl w:val="9A90F4D2"/>
    <w:lvl w:ilvl="0" w:tplc="69E29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C845EC"/>
    <w:multiLevelType w:val="hybridMultilevel"/>
    <w:tmpl w:val="89342894"/>
    <w:lvl w:ilvl="0" w:tplc="11567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776BF2"/>
    <w:multiLevelType w:val="hybridMultilevel"/>
    <w:tmpl w:val="EE78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55AB"/>
    <w:rsid w:val="00001F84"/>
    <w:rsid w:val="00063F4D"/>
    <w:rsid w:val="00072E29"/>
    <w:rsid w:val="000B5E50"/>
    <w:rsid w:val="000D205A"/>
    <w:rsid w:val="00171A49"/>
    <w:rsid w:val="002502FF"/>
    <w:rsid w:val="00280B5E"/>
    <w:rsid w:val="002C6DD1"/>
    <w:rsid w:val="002E265D"/>
    <w:rsid w:val="00313A88"/>
    <w:rsid w:val="003202C0"/>
    <w:rsid w:val="003626FF"/>
    <w:rsid w:val="00365FD3"/>
    <w:rsid w:val="00375F46"/>
    <w:rsid w:val="0044662B"/>
    <w:rsid w:val="00495A50"/>
    <w:rsid w:val="004A54A2"/>
    <w:rsid w:val="004A775C"/>
    <w:rsid w:val="004F1312"/>
    <w:rsid w:val="004F35BD"/>
    <w:rsid w:val="00516818"/>
    <w:rsid w:val="00574447"/>
    <w:rsid w:val="00610903"/>
    <w:rsid w:val="00690EB0"/>
    <w:rsid w:val="006F6D2F"/>
    <w:rsid w:val="00721B03"/>
    <w:rsid w:val="00765C5A"/>
    <w:rsid w:val="00863400"/>
    <w:rsid w:val="008D7D7E"/>
    <w:rsid w:val="008E3B83"/>
    <w:rsid w:val="009C64CE"/>
    <w:rsid w:val="00A231B8"/>
    <w:rsid w:val="00AE66A8"/>
    <w:rsid w:val="00AF75C0"/>
    <w:rsid w:val="00B00FD8"/>
    <w:rsid w:val="00B137FD"/>
    <w:rsid w:val="00B52550"/>
    <w:rsid w:val="00B678DD"/>
    <w:rsid w:val="00B71EAA"/>
    <w:rsid w:val="00B819A2"/>
    <w:rsid w:val="00B9457E"/>
    <w:rsid w:val="00BC1720"/>
    <w:rsid w:val="00BF1F1F"/>
    <w:rsid w:val="00BF70DF"/>
    <w:rsid w:val="00C04E22"/>
    <w:rsid w:val="00C1731F"/>
    <w:rsid w:val="00C73CE0"/>
    <w:rsid w:val="00C9615D"/>
    <w:rsid w:val="00D170B1"/>
    <w:rsid w:val="00D92FF6"/>
    <w:rsid w:val="00D955AB"/>
    <w:rsid w:val="00E341D4"/>
    <w:rsid w:val="00E52737"/>
    <w:rsid w:val="00E7449C"/>
    <w:rsid w:val="00EF7C86"/>
    <w:rsid w:val="00F07FE9"/>
    <w:rsid w:val="00F22DA6"/>
    <w:rsid w:val="00F336FF"/>
    <w:rsid w:val="00F87C80"/>
    <w:rsid w:val="00FE68AD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DD"/>
  </w:style>
  <w:style w:type="paragraph" w:styleId="1">
    <w:name w:val="heading 1"/>
    <w:basedOn w:val="a"/>
    <w:link w:val="10"/>
    <w:uiPriority w:val="9"/>
    <w:qFormat/>
    <w:rsid w:val="002C6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5A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55AB"/>
  </w:style>
  <w:style w:type="character" w:styleId="a5">
    <w:name w:val="Emphasis"/>
    <w:basedOn w:val="a0"/>
    <w:uiPriority w:val="20"/>
    <w:qFormat/>
    <w:rsid w:val="00D955AB"/>
    <w:rPr>
      <w:i/>
      <w:iCs/>
    </w:rPr>
  </w:style>
  <w:style w:type="paragraph" w:styleId="a6">
    <w:name w:val="List Paragraph"/>
    <w:basedOn w:val="a"/>
    <w:uiPriority w:val="34"/>
    <w:qFormat/>
    <w:rsid w:val="00E341D4"/>
    <w:pPr>
      <w:ind w:left="720"/>
      <w:contextualSpacing/>
    </w:pPr>
  </w:style>
  <w:style w:type="table" w:styleId="a7">
    <w:name w:val="Table Grid"/>
    <w:basedOn w:val="a1"/>
    <w:uiPriority w:val="59"/>
    <w:rsid w:val="00171A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F6D2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6F6D2F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</w:style>
  <w:style w:type="character" w:customStyle="1" w:styleId="highlight">
    <w:name w:val="highlight"/>
    <w:basedOn w:val="a0"/>
    <w:rsid w:val="006F6D2F"/>
  </w:style>
  <w:style w:type="paragraph" w:styleId="aa">
    <w:name w:val="header"/>
    <w:basedOn w:val="a"/>
    <w:link w:val="ab"/>
    <w:uiPriority w:val="99"/>
    <w:semiHidden/>
    <w:unhideWhenUsed/>
    <w:rsid w:val="00C17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1731F"/>
  </w:style>
  <w:style w:type="paragraph" w:styleId="ac">
    <w:name w:val="footer"/>
    <w:basedOn w:val="a"/>
    <w:link w:val="ad"/>
    <w:uiPriority w:val="99"/>
    <w:semiHidden/>
    <w:unhideWhenUsed/>
    <w:rsid w:val="00C17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1731F"/>
  </w:style>
  <w:style w:type="character" w:customStyle="1" w:styleId="10">
    <w:name w:val="Заголовок 1 Знак"/>
    <w:basedOn w:val="a0"/>
    <w:link w:val="1"/>
    <w:uiPriority w:val="9"/>
    <w:rsid w:val="002C6D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2C6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1736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XXXS</cp:lastModifiedBy>
  <cp:revision>23</cp:revision>
  <dcterms:created xsi:type="dcterms:W3CDTF">2017-03-12T11:56:00Z</dcterms:created>
  <dcterms:modified xsi:type="dcterms:W3CDTF">2019-11-22T20:49:00Z</dcterms:modified>
</cp:coreProperties>
</file>