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D02C2" w:rsidRDefault="005A15B6">
      <w:pPr>
        <w:spacing w:after="160" w:line="240" w:lineRule="auto"/>
        <w:ind w:left="-851"/>
        <w:jc w:val="center"/>
        <w:rPr>
          <w:b/>
          <w:color w:val="444492"/>
          <w:sz w:val="24"/>
          <w:szCs w:val="24"/>
        </w:rPr>
      </w:pPr>
      <w:r>
        <w:rPr>
          <w:b/>
          <w:color w:val="444492"/>
          <w:sz w:val="24"/>
          <w:szCs w:val="24"/>
        </w:rPr>
        <w:t>Роль поддерживающей терапии в лечении последствий острого инфаркта миокарда и его осложнений</w:t>
      </w:r>
    </w:p>
    <w:p w14:paraId="00000002" w14:textId="1AB58299" w:rsidR="00E87E7A" w:rsidRDefault="005A15B6">
      <w:pPr>
        <w:spacing w:after="120" w:line="240" w:lineRule="auto"/>
        <w:ind w:left="-851"/>
        <w:jc w:val="both"/>
      </w:pPr>
      <w:r>
        <w:t xml:space="preserve">Ежегодно в России регистрируется более полумиллиона эпизодов острого коронарного синдрома </w:t>
      </w:r>
      <w:r w:rsidR="00E87E7A">
        <w:rPr>
          <w:vertAlign w:val="superscript"/>
        </w:rPr>
        <w:endnoteReference w:id="1"/>
      </w:r>
      <w:r w:rsidR="00E87E7A">
        <w:t xml:space="preserve">. Таким пациентам назначается поддерживающая терапия, важное место в которой занимает двойная </w:t>
      </w:r>
      <w:proofErr w:type="spellStart"/>
      <w:r w:rsidR="00E87E7A">
        <w:t>антитромбоцитарная</w:t>
      </w:r>
      <w:proofErr w:type="spellEnd"/>
      <w:r w:rsidR="00E87E7A">
        <w:t xml:space="preserve"> терапия: сочетание ацетилсалициловой кислоты и ингибитора P2Y12 (</w:t>
      </w:r>
      <w:proofErr w:type="spellStart"/>
      <w:r w:rsidR="00E87E7A">
        <w:t>прасугрела</w:t>
      </w:r>
      <w:proofErr w:type="spellEnd"/>
      <w:r w:rsidR="00E87E7A">
        <w:t xml:space="preserve">, </w:t>
      </w:r>
      <w:proofErr w:type="spellStart"/>
      <w:r w:rsidR="00E87E7A">
        <w:t>тикагрелора</w:t>
      </w:r>
      <w:proofErr w:type="spellEnd"/>
      <w:r w:rsidR="00E87E7A">
        <w:t xml:space="preserve"> или </w:t>
      </w:r>
      <w:proofErr w:type="spellStart"/>
      <w:r w:rsidR="00E87E7A">
        <w:t>клопидогрела</w:t>
      </w:r>
      <w:proofErr w:type="spellEnd"/>
      <w:r w:rsidR="00E87E7A">
        <w:t xml:space="preserve">), длительностью 12 месяцев </w:t>
      </w:r>
      <w:r w:rsidR="00E87E7A">
        <w:rPr>
          <w:vertAlign w:val="superscript"/>
        </w:rPr>
        <w:endnoteReference w:id="2"/>
      </w:r>
      <w:r w:rsidR="00E87E7A">
        <w:t>.</w:t>
      </w:r>
    </w:p>
    <w:p w14:paraId="00000003" w14:textId="77777777" w:rsidR="00E87E7A" w:rsidRDefault="00E87E7A">
      <w:pPr>
        <w:spacing w:after="120" w:line="240" w:lineRule="auto"/>
        <w:ind w:left="-851"/>
        <w:jc w:val="both"/>
      </w:pPr>
      <w:proofErr w:type="gramStart"/>
      <w:r>
        <w:t>Между тем, по данным клинических исследований, 46,2% пациентов прерывают прием блокатора P2Y12 рецепторов более чем на 5 дней, а 21,1% полностью прекращают прием препарата раньше времени</w:t>
      </w:r>
      <w:r>
        <w:rPr>
          <w:vertAlign w:val="superscript"/>
        </w:rPr>
        <w:endnoteReference w:id="3"/>
      </w:r>
      <w:r>
        <w:t xml:space="preserve">. В реальности ситуация еще хуже, чем в исследованиях: по данным регистра MINAP-GPRD спустя год после эпизода острого коронарного синдрома назначений врача придерживаются лишь 54% пациентов </w:t>
      </w:r>
      <w:r>
        <w:rPr>
          <w:vertAlign w:val="superscript"/>
        </w:rPr>
        <w:endnoteReference w:id="4"/>
      </w:r>
      <w:r>
        <w:t>.</w:t>
      </w:r>
      <w:proofErr w:type="gramEnd"/>
    </w:p>
    <w:p w14:paraId="00000004" w14:textId="540855F0" w:rsidR="00E87E7A" w:rsidRDefault="00E87E7A">
      <w:pPr>
        <w:spacing w:after="120" w:line="240" w:lineRule="auto"/>
        <w:ind w:left="-851"/>
        <w:jc w:val="both"/>
      </w:pPr>
      <w:proofErr w:type="gramStart"/>
      <w:r>
        <w:t xml:space="preserve">При этом двойная </w:t>
      </w:r>
      <w:proofErr w:type="spellStart"/>
      <w:r>
        <w:t>антитромбоцитарная</w:t>
      </w:r>
      <w:proofErr w:type="spellEnd"/>
      <w:r>
        <w:t xml:space="preserve"> терапия (ДАТ) крайне важна не только для профилактики тромбоза </w:t>
      </w:r>
      <w:proofErr w:type="spellStart"/>
      <w:r>
        <w:t>стента</w:t>
      </w:r>
      <w:proofErr w:type="spellEnd"/>
      <w:r>
        <w:t xml:space="preserve"> – одного из самых опасных осложнений </w:t>
      </w:r>
      <w:proofErr w:type="spellStart"/>
      <w:r>
        <w:t>стентирования</w:t>
      </w:r>
      <w:proofErr w:type="spellEnd"/>
      <w:r>
        <w:t xml:space="preserve"> </w:t>
      </w:r>
      <w:r>
        <w:rPr>
          <w:vertAlign w:val="superscript"/>
        </w:rPr>
        <w:endnoteReference w:id="5"/>
      </w:r>
      <w:r>
        <w:t xml:space="preserve"> – но и для снижения риска спонтанного инфаркта миокарда, летальность при котором составляет 15% </w:t>
      </w:r>
      <w:r>
        <w:rPr>
          <w:vertAlign w:val="superscript"/>
        </w:rPr>
        <w:endnoteReference w:id="6"/>
      </w:r>
      <w:r>
        <w:t xml:space="preserve">. Риск повторного инфаркта миокарда у пациентов, применяющих только ацетилсалициловую кислоту, в первый год после острого коронарного события составляет 5 – 7% </w:t>
      </w:r>
      <w:r>
        <w:rPr>
          <w:vertAlign w:val="superscript"/>
        </w:rPr>
        <w:endnoteReference w:id="7"/>
      </w:r>
      <w:r>
        <w:t xml:space="preserve"> </w:t>
      </w:r>
      <w:r>
        <w:rPr>
          <w:vertAlign w:val="superscript"/>
        </w:rPr>
        <w:endnoteReference w:id="8"/>
      </w:r>
      <w:r>
        <w:t xml:space="preserve">, в последующие годы 2 – 5% </w:t>
      </w:r>
      <w:r>
        <w:rPr>
          <w:vertAlign w:val="superscript"/>
        </w:rPr>
        <w:endnoteReference w:id="9"/>
      </w:r>
      <w:r>
        <w:t>.</w:t>
      </w:r>
      <w:r w:rsidR="005A15B6">
        <w:t xml:space="preserve"> Добавление же</w:t>
      </w:r>
      <w:proofErr w:type="gramEnd"/>
      <w:r w:rsidR="005A15B6">
        <w:t xml:space="preserve"> ингибитора P2Y12 снижает абсолютный риск повторного инфаркта на 2% </w:t>
      </w:r>
      <w:r>
        <w:rPr>
          <w:vertAlign w:val="superscript"/>
        </w:rPr>
        <w:endnoteReference w:id="10"/>
      </w:r>
      <w:r>
        <w:t>, то есть почти наполовину, если говорить об относительных значениях.</w:t>
      </w:r>
    </w:p>
    <w:p w14:paraId="00000005" w14:textId="77777777" w:rsidR="00E87E7A" w:rsidRDefault="00E87E7A">
      <w:pPr>
        <w:spacing w:after="120" w:line="240" w:lineRule="auto"/>
        <w:ind w:left="-851"/>
        <w:jc w:val="both"/>
      </w:pPr>
      <w:proofErr w:type="gramStart"/>
      <w:r>
        <w:t xml:space="preserve">По мнению экспертов, на текущем этапе развития медицины это единственный способ максимально защитить пациента от рецидива </w:t>
      </w:r>
      <w:proofErr w:type="spellStart"/>
      <w:r>
        <w:t>интракоронарного</w:t>
      </w:r>
      <w:proofErr w:type="spellEnd"/>
      <w:r>
        <w:t xml:space="preserve"> </w:t>
      </w:r>
      <w:proofErr w:type="spellStart"/>
      <w:r>
        <w:t>тромбообразования</w:t>
      </w:r>
      <w:proofErr w:type="spellEnd"/>
      <w:r>
        <w:t xml:space="preserve"> </w:t>
      </w:r>
      <w:r>
        <w:rPr>
          <w:vertAlign w:val="superscript"/>
        </w:rPr>
        <w:endnoteReference w:id="11"/>
      </w:r>
      <w:r>
        <w:t xml:space="preserve">. Доказано, что применение ДАТ более полугода на 25% снижает частоту объединенных неблагоприятных событий (смерть от любой причины, инсульт или повторный инфаркт) по сравнению с ДАТ, продолжавшейся менее 6 месяцев </w:t>
      </w:r>
      <w:r>
        <w:rPr>
          <w:vertAlign w:val="superscript"/>
        </w:rPr>
        <w:endnoteReference w:id="12"/>
      </w:r>
      <w:r>
        <w:t xml:space="preserve">. У пациентов, которым были имплантированы коронарные </w:t>
      </w:r>
      <w:proofErr w:type="spellStart"/>
      <w:r>
        <w:t>стенты</w:t>
      </w:r>
      <w:proofErr w:type="spellEnd"/>
      <w:r>
        <w:t xml:space="preserve">, прекращение приема </w:t>
      </w:r>
      <w:proofErr w:type="spellStart"/>
      <w:r>
        <w:t>клопидогрела</w:t>
      </w:r>
      <w:proofErr w:type="spellEnd"/>
      <w:r>
        <w:t xml:space="preserve"> увеличивало абсолютный риск</w:t>
      </w:r>
      <w:proofErr w:type="gramEnd"/>
      <w:r>
        <w:t xml:space="preserve"> летального исхода в 2.4 раза</w:t>
      </w:r>
      <w:r>
        <w:rPr>
          <w:vertAlign w:val="superscript"/>
        </w:rPr>
        <w:endnoteReference w:id="13"/>
      </w:r>
      <w:r>
        <w:t xml:space="preserve">, причем этот риск не зависел от того, использовались ли </w:t>
      </w:r>
      <w:proofErr w:type="spellStart"/>
      <w:r>
        <w:t>стенты</w:t>
      </w:r>
      <w:proofErr w:type="spellEnd"/>
      <w:r>
        <w:t xml:space="preserve"> с покрытием или без покрытия </w:t>
      </w:r>
      <w:r>
        <w:rPr>
          <w:vertAlign w:val="superscript"/>
        </w:rPr>
        <w:endnoteReference w:id="14"/>
      </w:r>
      <w:r>
        <w:t>.</w:t>
      </w:r>
    </w:p>
    <w:p w14:paraId="00000006" w14:textId="636F0D38" w:rsidR="00BD02C2" w:rsidRDefault="00E87E7A">
      <w:pPr>
        <w:spacing w:after="120" w:line="240" w:lineRule="auto"/>
        <w:ind w:left="-851"/>
        <w:jc w:val="both"/>
      </w:pPr>
      <w:r>
        <w:t xml:space="preserve">Проблема в том, что большинству пациентов действительно трудно сохранять приверженность назначенному лечению. Ведь согласно рекомендациям европейских экспертов, поддерживающая терапия включает в себя минимум четыре группы препаратов: сочетание аспирина и ингибитора P2Y12, </w:t>
      </w:r>
      <w:proofErr w:type="spellStart"/>
      <w:r>
        <w:t>липидснижающую</w:t>
      </w:r>
      <w:proofErr w:type="spellEnd"/>
      <w:r>
        <w:t xml:space="preserve"> терапию (</w:t>
      </w:r>
      <w:proofErr w:type="spellStart"/>
      <w:r>
        <w:t>статины</w:t>
      </w:r>
      <w:proofErr w:type="spellEnd"/>
      <w:r>
        <w:t xml:space="preserve"> достоверно снижают риск сердечно-</w:t>
      </w:r>
      <w:proofErr w:type="spellStart"/>
      <w:r>
        <w:t>сосудистях</w:t>
      </w:r>
      <w:proofErr w:type="spellEnd"/>
      <w:r>
        <w:t xml:space="preserve"> событий</w:t>
      </w:r>
      <w:r>
        <w:rPr>
          <w:vertAlign w:val="superscript"/>
        </w:rPr>
        <w:endnoteReference w:id="15"/>
      </w:r>
      <w:r>
        <w:t>)</w:t>
      </w:r>
      <w:r w:rsidR="005A15B6">
        <w:t>, ингибиторы АПФ</w:t>
      </w:r>
      <w:r>
        <w:rPr>
          <w:vertAlign w:val="superscript"/>
        </w:rPr>
        <w:endnoteReference w:id="16"/>
      </w:r>
      <w:r>
        <w:t>, бета-блокаторы (позволяют снизить общую смертность</w:t>
      </w:r>
      <w:r>
        <w:rPr>
          <w:vertAlign w:val="superscript"/>
        </w:rPr>
        <w:endnoteReference w:id="17"/>
      </w:r>
      <w:r>
        <w:t xml:space="preserve"> и риск </w:t>
      </w:r>
      <w:proofErr w:type="gramStart"/>
      <w:r>
        <w:t>сердечно-сосудистых</w:t>
      </w:r>
      <w:proofErr w:type="gramEnd"/>
      <w:r>
        <w:t xml:space="preserve"> событий в целом</w:t>
      </w:r>
      <w:r>
        <w:rPr>
          <w:vertAlign w:val="superscript"/>
        </w:rPr>
        <w:endnoteReference w:id="18"/>
      </w:r>
      <w:r>
        <w:t>). Если добавить к этому необходимость коррекции артериальной гипертензии</w:t>
      </w:r>
      <w:r>
        <w:rPr>
          <w:vertAlign w:val="superscript"/>
        </w:rPr>
        <w:endnoteReference w:id="19"/>
      </w:r>
      <w:r>
        <w:t>,</w:t>
      </w:r>
      <w:r w:rsidR="005A15B6">
        <w:t xml:space="preserve"> зачастую требующую несколько лекарственных средств, ингибиторы протонной помпы для пациентов с повышенным риском геморрагических осложнений</w:t>
      </w:r>
      <w:r>
        <w:rPr>
          <w:vertAlign w:val="superscript"/>
        </w:rPr>
        <w:endnoteReference w:id="20"/>
      </w:r>
      <w:r>
        <w:t>,</w:t>
      </w:r>
      <w:r w:rsidR="005A15B6">
        <w:t xml:space="preserve"> средства для лечени</w:t>
      </w:r>
      <w:r w:rsidR="005A15B6">
        <w:t xml:space="preserve">я других общесоматических заболеваний, которым страдают пожилые люди, получается, что пациенты вынуждены, образно говоря, принимать таблетки горстями. </w:t>
      </w:r>
    </w:p>
    <w:p w14:paraId="00000007" w14:textId="77777777" w:rsidR="00BD02C2" w:rsidRDefault="005A15B6">
      <w:pPr>
        <w:spacing w:after="120" w:line="240" w:lineRule="auto"/>
        <w:ind w:left="-851"/>
        <w:jc w:val="both"/>
      </w:pPr>
      <w:r>
        <w:t>Чтобы повысить приверженность пациента к терапии, кроме работы с мотивацией – объяснение необходимости п</w:t>
      </w:r>
      <w:r>
        <w:t>риема препаратов и неблагоприятных последствий прекращения лечения – рекомендуется выбирать средства, от приема которых пациенты отказываются реже и, по возможности, отдавать предпочтение фиксированным комбинациям препаратов.</w:t>
      </w:r>
    </w:p>
    <w:p w14:paraId="00000008" w14:textId="666F1504" w:rsidR="00E87E7A" w:rsidRDefault="005A15B6">
      <w:pPr>
        <w:spacing w:after="120" w:line="240" w:lineRule="auto"/>
        <w:ind w:left="-851"/>
        <w:jc w:val="both"/>
      </w:pPr>
      <w:r>
        <w:t>Так, выбирая между ингибиторам</w:t>
      </w:r>
      <w:r>
        <w:t xml:space="preserve">и P2Y12, разумно учитывать не только то, что </w:t>
      </w:r>
      <w:proofErr w:type="spellStart"/>
      <w:r>
        <w:t>клопидогрел</w:t>
      </w:r>
      <w:proofErr w:type="spellEnd"/>
      <w:r>
        <w:t xml:space="preserve">, по мнению европейских экспертов, препарат выбора для пациентов, перенесших </w:t>
      </w:r>
      <w:proofErr w:type="spellStart"/>
      <w:r>
        <w:lastRenderedPageBreak/>
        <w:t>тромболитическую</w:t>
      </w:r>
      <w:proofErr w:type="spellEnd"/>
      <w:r>
        <w:t xml:space="preserve"> терапию </w:t>
      </w:r>
      <w:r w:rsidR="00E87E7A">
        <w:rPr>
          <w:vertAlign w:val="superscript"/>
        </w:rPr>
        <w:endnoteReference w:id="21"/>
      </w:r>
      <w:r w:rsidR="00E87E7A">
        <w:t xml:space="preserve">, но и то, что приверженность к этому препарату на практике оказывается достоверно выше, в сравнении как с </w:t>
      </w:r>
      <w:proofErr w:type="spellStart"/>
      <w:r w:rsidR="00E87E7A">
        <w:t>тикагрелором</w:t>
      </w:r>
      <w:proofErr w:type="spellEnd"/>
      <w:r w:rsidR="00E87E7A">
        <w:t xml:space="preserve"> </w:t>
      </w:r>
      <w:r w:rsidR="00E87E7A">
        <w:rPr>
          <w:vertAlign w:val="superscript"/>
        </w:rPr>
        <w:endnoteReference w:id="22"/>
      </w:r>
      <w:r w:rsidR="00E87E7A">
        <w:t xml:space="preserve">, так и с </w:t>
      </w:r>
      <w:proofErr w:type="spellStart"/>
      <w:r w:rsidR="00E87E7A">
        <w:t>прасугрелом</w:t>
      </w:r>
      <w:proofErr w:type="spellEnd"/>
      <w:r w:rsidR="00E87E7A">
        <w:t xml:space="preserve"> </w:t>
      </w:r>
      <w:r w:rsidR="00E87E7A">
        <w:rPr>
          <w:vertAlign w:val="superscript"/>
        </w:rPr>
        <w:endnoteReference w:id="23"/>
      </w:r>
      <w:r w:rsidR="00E87E7A">
        <w:t xml:space="preserve">. </w:t>
      </w:r>
    </w:p>
    <w:p w14:paraId="00000009" w14:textId="77777777" w:rsidR="00E87E7A" w:rsidRDefault="00E87E7A">
      <w:pPr>
        <w:spacing w:after="120" w:line="240" w:lineRule="auto"/>
        <w:ind w:left="-851"/>
        <w:jc w:val="both"/>
      </w:pPr>
      <w:r>
        <w:t xml:space="preserve">Кроме того, </w:t>
      </w:r>
      <w:proofErr w:type="spellStart"/>
      <w:r>
        <w:t>клопидогрел</w:t>
      </w:r>
      <w:proofErr w:type="spellEnd"/>
      <w:r>
        <w:t xml:space="preserve"> можно назначать в виде фиксированной комбинации с аспирином. Это упрощает схему лечения и повышает приверженность пациентов </w:t>
      </w:r>
      <w:proofErr w:type="gramStart"/>
      <w:r>
        <w:t>к</w:t>
      </w:r>
      <w:proofErr w:type="gramEnd"/>
      <w:r>
        <w:t xml:space="preserve"> ДАТ. Исследования показывают, что уже через месяц среди пациентов, получающих комбинированный препарат аспирина и </w:t>
      </w:r>
      <w:proofErr w:type="spellStart"/>
      <w:r>
        <w:t>клопидогрела</w:t>
      </w:r>
      <w:proofErr w:type="spellEnd"/>
      <w:r>
        <w:t xml:space="preserve">, отказавшихся от двойной </w:t>
      </w:r>
      <w:proofErr w:type="spellStart"/>
      <w:r>
        <w:t>антитромбоцитарной</w:t>
      </w:r>
      <w:proofErr w:type="spellEnd"/>
      <w:r>
        <w:t xml:space="preserve"> терапии намного меньше, чем в группе, которая получала эти препараты в виде отдельных лекарственных средств: 7% против 17%</w:t>
      </w:r>
      <w:r>
        <w:rPr>
          <w:vertAlign w:val="superscript"/>
        </w:rPr>
        <w:endnoteReference w:id="24"/>
      </w:r>
      <w:r>
        <w:t>.</w:t>
      </w:r>
    </w:p>
    <w:p w14:paraId="0000000A" w14:textId="77777777" w:rsidR="00E87E7A" w:rsidRDefault="00E87E7A">
      <w:pPr>
        <w:spacing w:after="120" w:line="240" w:lineRule="auto"/>
        <w:ind w:left="-851"/>
        <w:jc w:val="both"/>
      </w:pPr>
      <w:r>
        <w:t xml:space="preserve">«Сложно переоценить значение приверженности терапии в лечении </w:t>
      </w:r>
      <w:proofErr w:type="gramStart"/>
      <w:r>
        <w:t>сердечно-сосудистых</w:t>
      </w:r>
      <w:proofErr w:type="gramEnd"/>
      <w:r>
        <w:t xml:space="preserve"> заболеваний. Помимо образовательной работы, направленной на разъяснение важности соблюдений рекомендаций врача, необходимо обеспечивать доступность качественных лекарственных средств</w:t>
      </w:r>
      <w:proofErr w:type="gramStart"/>
      <w:r>
        <w:t>.</w:t>
      </w:r>
      <w:proofErr w:type="gramEnd"/>
      <w:r>
        <w:t xml:space="preserve"> -</w:t>
      </w:r>
      <w:bookmarkStart w:id="0" w:name="_GoBack"/>
      <w:bookmarkEnd w:id="0"/>
      <w:r>
        <w:t xml:space="preserve"> </w:t>
      </w:r>
      <w:proofErr w:type="gramStart"/>
      <w:r>
        <w:t>г</w:t>
      </w:r>
      <w:proofErr w:type="gramEnd"/>
      <w:r>
        <w:t xml:space="preserve">оворит Ольга Широкова, руководитель бизнес-подразделения основных рецептурных препаратов компании </w:t>
      </w:r>
      <w:proofErr w:type="spellStart"/>
      <w:r>
        <w:t>Санофи</w:t>
      </w:r>
      <w:proofErr w:type="spellEnd"/>
      <w:r>
        <w:t xml:space="preserve">. – Заботясь о российских пациентах, в 2017 году мы запустили программу лояльности «Пульс Здоровья», позволяющую покупать наши препараты со скидкой и получать информационные материалы о здоровье. А в 2018 году мы снизили цены на некоторые наши препараты. Так, снижение цены на </w:t>
      </w:r>
      <w:proofErr w:type="spellStart"/>
      <w:r>
        <w:t>Плавикс</w:t>
      </w:r>
      <w:proofErr w:type="spellEnd"/>
      <w:r>
        <w:t xml:space="preserve"> достигла 60%.»</w:t>
      </w:r>
    </w:p>
    <w:p w14:paraId="0000000B" w14:textId="77777777" w:rsidR="00BD02C2" w:rsidRDefault="00E87E7A">
      <w:pPr>
        <w:spacing w:after="120" w:line="240" w:lineRule="auto"/>
        <w:ind w:left="-851"/>
        <w:jc w:val="both"/>
      </w:pPr>
      <w:r>
        <w:t xml:space="preserve">Кроме медикаментозной терапии, пациентам рекомендуется изменить образ жизни: по возможности нормализовать вес, увеличить физическую активность, придерживаться здоровой диеты и отказаться от курения. Физические упражнения, подобранные с учетом физических возможностей, снижают уровень смертности у пациентов с ИБС на 22% </w:t>
      </w:r>
      <w:r>
        <w:rPr>
          <w:vertAlign w:val="superscript"/>
        </w:rPr>
        <w:endnoteReference w:id="25"/>
      </w:r>
      <w:r>
        <w:t>.</w:t>
      </w:r>
      <w:r w:rsidR="005A15B6">
        <w:t xml:space="preserve"> </w:t>
      </w:r>
    </w:p>
    <w:p w14:paraId="0000000C" w14:textId="77777777" w:rsidR="00BD02C2" w:rsidRDefault="005A15B6">
      <w:pPr>
        <w:spacing w:after="120" w:line="240" w:lineRule="auto"/>
        <w:ind w:left="-851"/>
        <w:jc w:val="both"/>
      </w:pPr>
      <w:r>
        <w:t>Резюмируя вышесказанное, можно отметить, чт</w:t>
      </w:r>
      <w:r>
        <w:t xml:space="preserve">о поддерживающая терапия после перенесенного острого инфаркта миокарда позволяет снизить смертность, уменьшить вероятность </w:t>
      </w:r>
      <w:proofErr w:type="gramStart"/>
      <w:r>
        <w:t>сердечно-сосудистых</w:t>
      </w:r>
      <w:proofErr w:type="gramEnd"/>
      <w:r>
        <w:t xml:space="preserve"> событий и увеличить продолжительность жизни. При этом очень важно, чтобы пациент сохранил приверженность рекоменд</w:t>
      </w:r>
      <w:r>
        <w:t>ованному лечению в течение всего курса. Чтобы пациенты не прекращали терапию преждевременно, рекомендуется назначать препараты в виде фиксированных комбинаций, что упрощает схему лечения и повышает приверженность больных к назначенной терапии.</w:t>
      </w:r>
    </w:p>
    <w:sectPr w:rsidR="00BD02C2">
      <w:headerReference w:type="default" r:id="rId7"/>
      <w:pgSz w:w="12240" w:h="15840"/>
      <w:pgMar w:top="1440" w:right="1440" w:bottom="1440" w:left="198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E2174" w14:textId="77777777" w:rsidR="005A15B6" w:rsidRDefault="005A15B6">
      <w:pPr>
        <w:spacing w:line="240" w:lineRule="auto"/>
      </w:pPr>
      <w:r>
        <w:separator/>
      </w:r>
    </w:p>
  </w:endnote>
  <w:endnote w:type="continuationSeparator" w:id="0">
    <w:p w14:paraId="3FC07E27" w14:textId="77777777" w:rsidR="005A15B6" w:rsidRDefault="005A15B6">
      <w:pPr>
        <w:spacing w:line="240" w:lineRule="auto"/>
      </w:pPr>
      <w:r>
        <w:continuationSeparator/>
      </w:r>
    </w:p>
  </w:endnote>
  <w:endnote w:id="1">
    <w:p w14:paraId="0000000D" w14:textId="77777777" w:rsidR="00E87E7A" w:rsidRDefault="00E87E7A">
      <w:pPr>
        <w:spacing w:line="240" w:lineRule="auto"/>
        <w:rPr>
          <w:sz w:val="20"/>
          <w:szCs w:val="20"/>
        </w:rPr>
      </w:pPr>
      <w:r>
        <w:rPr>
          <w:vertAlign w:val="superscript"/>
        </w:rPr>
        <w:end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Н.Б.Перепеч</w:t>
      </w:r>
      <w:proofErr w:type="spellEnd"/>
      <w:r>
        <w:rPr>
          <w:sz w:val="20"/>
          <w:szCs w:val="20"/>
        </w:rPr>
        <w:t xml:space="preserve">. Острый коронарный синдром: патогенез, диагностика, лечение, реабилитация (часть 1). </w:t>
      </w:r>
      <w:proofErr w:type="spellStart"/>
      <w:r>
        <w:rPr>
          <w:sz w:val="20"/>
          <w:szCs w:val="20"/>
        </w:rPr>
        <w:t>Кардиосоматика</w:t>
      </w:r>
      <w:proofErr w:type="spellEnd"/>
      <w:r>
        <w:rPr>
          <w:sz w:val="20"/>
          <w:szCs w:val="20"/>
        </w:rPr>
        <w:t>. 2016</w:t>
      </w:r>
    </w:p>
  </w:endnote>
  <w:endnote w:id="2">
    <w:p w14:paraId="0000000E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2017 ESC Guidelines for the management of acute myocardial infarction in patients presenting with ST-segment elevation</w:t>
      </w:r>
    </w:p>
  </w:endnote>
  <w:endnote w:id="3">
    <w:p w14:paraId="0000000F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gramStart"/>
      <w:r w:rsidRPr="00E87E7A">
        <w:rPr>
          <w:sz w:val="20"/>
          <w:szCs w:val="20"/>
          <w:lang w:val="en-US"/>
        </w:rPr>
        <w:t xml:space="preserve">The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instable angina to prevent </w:t>
      </w:r>
      <w:proofErr w:type="spellStart"/>
      <w:r w:rsidRPr="00E87E7A">
        <w:rPr>
          <w:sz w:val="20"/>
          <w:szCs w:val="20"/>
          <w:lang w:val="en-US"/>
        </w:rPr>
        <w:t>reccurent</w:t>
      </w:r>
      <w:proofErr w:type="spellEnd"/>
      <w:r w:rsidRPr="00E87E7A">
        <w:rPr>
          <w:sz w:val="20"/>
          <w:szCs w:val="20"/>
          <w:lang w:val="en-US"/>
        </w:rPr>
        <w:t xml:space="preserve"> events trial investigators.</w:t>
      </w:r>
      <w:proofErr w:type="gramEnd"/>
      <w:r w:rsidRPr="00E87E7A">
        <w:rPr>
          <w:sz w:val="20"/>
          <w:szCs w:val="20"/>
          <w:lang w:val="en-US"/>
        </w:rPr>
        <w:t xml:space="preserve"> </w:t>
      </w:r>
      <w:proofErr w:type="gramStart"/>
      <w:r w:rsidRPr="00E87E7A">
        <w:rPr>
          <w:sz w:val="20"/>
          <w:szCs w:val="20"/>
          <w:lang w:val="en-US"/>
        </w:rPr>
        <w:t xml:space="preserve">Effects of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in addition to aspirin in patients with acute coronary syndromes without ST-segment elevation.</w:t>
      </w:r>
      <w:proofErr w:type="gramEnd"/>
      <w:r w:rsidRPr="00E87E7A">
        <w:rPr>
          <w:sz w:val="20"/>
          <w:szCs w:val="20"/>
          <w:lang w:val="en-US"/>
        </w:rPr>
        <w:t xml:space="preserve"> N </w:t>
      </w:r>
      <w:proofErr w:type="spellStart"/>
      <w:r w:rsidRPr="00E87E7A">
        <w:rPr>
          <w:sz w:val="20"/>
          <w:szCs w:val="20"/>
          <w:lang w:val="en-US"/>
        </w:rPr>
        <w:t>Engl</w:t>
      </w:r>
      <w:proofErr w:type="spellEnd"/>
      <w:r w:rsidRPr="00E87E7A">
        <w:rPr>
          <w:sz w:val="20"/>
          <w:szCs w:val="20"/>
          <w:lang w:val="en-US"/>
        </w:rPr>
        <w:t xml:space="preserve"> J Med, 2001</w:t>
      </w:r>
    </w:p>
  </w:endnote>
  <w:endnote w:id="4">
    <w:p w14:paraId="00000010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Boggon</w:t>
      </w:r>
      <w:proofErr w:type="spellEnd"/>
      <w:r w:rsidRPr="00E87E7A">
        <w:rPr>
          <w:sz w:val="20"/>
          <w:szCs w:val="20"/>
          <w:lang w:val="en-US"/>
        </w:rPr>
        <w:t xml:space="preserve"> R, van </w:t>
      </w:r>
      <w:proofErr w:type="spellStart"/>
      <w:r w:rsidRPr="00E87E7A">
        <w:rPr>
          <w:sz w:val="20"/>
          <w:szCs w:val="20"/>
          <w:lang w:val="en-US"/>
        </w:rPr>
        <w:t>Staa</w:t>
      </w:r>
      <w:proofErr w:type="spellEnd"/>
      <w:r w:rsidRPr="00E87E7A">
        <w:rPr>
          <w:sz w:val="20"/>
          <w:szCs w:val="20"/>
          <w:lang w:val="en-US"/>
        </w:rPr>
        <w:t xml:space="preserve"> TP, </w:t>
      </w:r>
      <w:proofErr w:type="spellStart"/>
      <w:r w:rsidRPr="00E87E7A">
        <w:rPr>
          <w:sz w:val="20"/>
          <w:szCs w:val="20"/>
          <w:lang w:val="en-US"/>
        </w:rPr>
        <w:t>Timmis</w:t>
      </w:r>
      <w:proofErr w:type="spellEnd"/>
      <w:r w:rsidRPr="00E87E7A">
        <w:rPr>
          <w:sz w:val="20"/>
          <w:szCs w:val="20"/>
          <w:lang w:val="en-US"/>
        </w:rPr>
        <w:t xml:space="preserve"> A et al.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discontinuation after acute coronary syndromes:</w:t>
      </w:r>
    </w:p>
    <w:p w14:paraId="00000011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 w:rsidRPr="00E87E7A">
        <w:rPr>
          <w:sz w:val="20"/>
          <w:szCs w:val="20"/>
          <w:lang w:val="en-US"/>
        </w:rPr>
        <w:t xml:space="preserve">frequency, predictors and associations with death and myocardial infarction — a hospital </w:t>
      </w:r>
      <w:proofErr w:type="spellStart"/>
      <w:r w:rsidRPr="00E87E7A">
        <w:rPr>
          <w:sz w:val="20"/>
          <w:szCs w:val="20"/>
          <w:lang w:val="en-US"/>
        </w:rPr>
        <w:t>registryprimary</w:t>
      </w:r>
      <w:proofErr w:type="spellEnd"/>
      <w:r w:rsidRPr="00E87E7A">
        <w:rPr>
          <w:sz w:val="20"/>
          <w:szCs w:val="20"/>
          <w:lang w:val="en-US"/>
        </w:rPr>
        <w:t xml:space="preserve"> care cohort (MINAP-GPRD)</w:t>
      </w:r>
    </w:p>
  </w:endnote>
  <w:endnote w:id="5">
    <w:p w14:paraId="00000012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Guerra E, </w:t>
      </w:r>
      <w:proofErr w:type="spellStart"/>
      <w:r w:rsidRPr="00E87E7A">
        <w:rPr>
          <w:sz w:val="20"/>
          <w:szCs w:val="20"/>
          <w:lang w:val="en-US"/>
        </w:rPr>
        <w:t>Ndrepepa</w:t>
      </w:r>
      <w:proofErr w:type="spellEnd"/>
      <w:r w:rsidRPr="00E87E7A">
        <w:rPr>
          <w:sz w:val="20"/>
          <w:szCs w:val="20"/>
          <w:lang w:val="en-US"/>
        </w:rPr>
        <w:t xml:space="preserve"> G, Schulz S, Byrne R, </w:t>
      </w:r>
      <w:proofErr w:type="spellStart"/>
      <w:r w:rsidRPr="00E87E7A">
        <w:rPr>
          <w:sz w:val="20"/>
          <w:szCs w:val="20"/>
          <w:lang w:val="en-US"/>
        </w:rPr>
        <w:t>Hoppmann</w:t>
      </w:r>
      <w:proofErr w:type="spellEnd"/>
      <w:r w:rsidRPr="00E87E7A">
        <w:rPr>
          <w:sz w:val="20"/>
          <w:szCs w:val="20"/>
          <w:lang w:val="en-US"/>
        </w:rPr>
        <w:t xml:space="preserve"> P, </w:t>
      </w:r>
      <w:proofErr w:type="spellStart"/>
      <w:r w:rsidRPr="00E87E7A">
        <w:rPr>
          <w:sz w:val="20"/>
          <w:szCs w:val="20"/>
          <w:lang w:val="en-US"/>
        </w:rPr>
        <w:t>Kufner</w:t>
      </w:r>
      <w:proofErr w:type="spellEnd"/>
      <w:r w:rsidRPr="00E87E7A">
        <w:rPr>
          <w:sz w:val="20"/>
          <w:szCs w:val="20"/>
          <w:lang w:val="en-US"/>
        </w:rPr>
        <w:t xml:space="preserve"> S, Ibrahim T, Tada T, </w:t>
      </w:r>
      <w:proofErr w:type="spellStart"/>
      <w:r w:rsidRPr="00E87E7A">
        <w:rPr>
          <w:sz w:val="20"/>
          <w:szCs w:val="20"/>
          <w:lang w:val="en-US"/>
        </w:rPr>
        <w:t>Schunkert</w:t>
      </w:r>
      <w:proofErr w:type="spellEnd"/>
      <w:r w:rsidRPr="00E87E7A">
        <w:rPr>
          <w:sz w:val="20"/>
          <w:szCs w:val="20"/>
          <w:lang w:val="en-US"/>
        </w:rPr>
        <w:t xml:space="preserve"> H, </w:t>
      </w:r>
      <w:proofErr w:type="spellStart"/>
      <w:r w:rsidRPr="00E87E7A">
        <w:rPr>
          <w:sz w:val="20"/>
          <w:szCs w:val="20"/>
          <w:lang w:val="en-US"/>
        </w:rPr>
        <w:t>Laugwitz</w:t>
      </w:r>
      <w:proofErr w:type="spellEnd"/>
      <w:r w:rsidRPr="00E87E7A">
        <w:rPr>
          <w:sz w:val="20"/>
          <w:szCs w:val="20"/>
          <w:lang w:val="en-US"/>
        </w:rPr>
        <w:t xml:space="preserve"> KL, </w:t>
      </w:r>
      <w:proofErr w:type="spellStart"/>
      <w:r w:rsidRPr="00E87E7A">
        <w:rPr>
          <w:sz w:val="20"/>
          <w:szCs w:val="20"/>
          <w:lang w:val="en-US"/>
        </w:rPr>
        <w:t>Kastrati</w:t>
      </w:r>
      <w:proofErr w:type="spellEnd"/>
      <w:r w:rsidRPr="00E87E7A">
        <w:rPr>
          <w:sz w:val="20"/>
          <w:szCs w:val="20"/>
          <w:lang w:val="en-US"/>
        </w:rPr>
        <w:t xml:space="preserve"> A. Impact of </w:t>
      </w:r>
      <w:proofErr w:type="spellStart"/>
      <w:r w:rsidRPr="00E87E7A">
        <w:rPr>
          <w:sz w:val="20"/>
          <w:szCs w:val="20"/>
          <w:lang w:val="en-US"/>
        </w:rPr>
        <w:t>inhospital</w:t>
      </w:r>
      <w:proofErr w:type="spellEnd"/>
      <w:r w:rsidRPr="00E87E7A">
        <w:rPr>
          <w:sz w:val="20"/>
          <w:szCs w:val="20"/>
          <w:lang w:val="en-US"/>
        </w:rPr>
        <w:t xml:space="preserve"> stent thrombosis and cerebrovascular accidents on long-term prognosis after percutaneous coronary intervention. Am Heart J 2014</w:t>
      </w:r>
    </w:p>
  </w:endnote>
  <w:endnote w:id="6">
    <w:p w14:paraId="00000013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Mozaffarian</w:t>
      </w:r>
      <w:proofErr w:type="spellEnd"/>
      <w:r w:rsidRPr="00E87E7A">
        <w:rPr>
          <w:sz w:val="20"/>
          <w:szCs w:val="20"/>
          <w:lang w:val="en-US"/>
        </w:rPr>
        <w:t xml:space="preserve"> D, Benjamin EJ, Go AS, Arnett DK, </w:t>
      </w:r>
      <w:proofErr w:type="spellStart"/>
      <w:r w:rsidRPr="00E87E7A">
        <w:rPr>
          <w:sz w:val="20"/>
          <w:szCs w:val="20"/>
          <w:lang w:val="en-US"/>
        </w:rPr>
        <w:t>Blaha</w:t>
      </w:r>
      <w:proofErr w:type="spellEnd"/>
      <w:r w:rsidRPr="00E87E7A">
        <w:rPr>
          <w:sz w:val="20"/>
          <w:szCs w:val="20"/>
          <w:lang w:val="en-US"/>
        </w:rPr>
        <w:t xml:space="preserve"> MJ, Cushman M, Das SR, de Ferranti S, </w:t>
      </w:r>
      <w:proofErr w:type="spellStart"/>
      <w:r w:rsidRPr="00E87E7A">
        <w:rPr>
          <w:sz w:val="20"/>
          <w:szCs w:val="20"/>
          <w:lang w:val="en-US"/>
        </w:rPr>
        <w:t>Despres</w:t>
      </w:r>
      <w:proofErr w:type="spellEnd"/>
      <w:r w:rsidRPr="00E87E7A">
        <w:rPr>
          <w:sz w:val="20"/>
          <w:szCs w:val="20"/>
          <w:lang w:val="en-US"/>
        </w:rPr>
        <w:t xml:space="preserve"> JP, Fullerton HJ, Howard VJ, Huffman MD, </w:t>
      </w:r>
      <w:proofErr w:type="spellStart"/>
      <w:r w:rsidRPr="00E87E7A">
        <w:rPr>
          <w:sz w:val="20"/>
          <w:szCs w:val="20"/>
          <w:lang w:val="en-US"/>
        </w:rPr>
        <w:t>Isasi</w:t>
      </w:r>
      <w:proofErr w:type="spellEnd"/>
      <w:r w:rsidRPr="00E87E7A">
        <w:rPr>
          <w:sz w:val="20"/>
          <w:szCs w:val="20"/>
          <w:lang w:val="en-US"/>
        </w:rPr>
        <w:t xml:space="preserve"> CR, Jimenez MC, Judd SE, </w:t>
      </w:r>
      <w:proofErr w:type="spellStart"/>
      <w:r w:rsidRPr="00E87E7A">
        <w:rPr>
          <w:sz w:val="20"/>
          <w:szCs w:val="20"/>
          <w:lang w:val="en-US"/>
        </w:rPr>
        <w:t>Kissela</w:t>
      </w:r>
      <w:proofErr w:type="spellEnd"/>
      <w:r w:rsidRPr="00E87E7A">
        <w:rPr>
          <w:sz w:val="20"/>
          <w:szCs w:val="20"/>
          <w:lang w:val="en-US"/>
        </w:rPr>
        <w:t xml:space="preserve"> BM, </w:t>
      </w:r>
      <w:proofErr w:type="spellStart"/>
      <w:r w:rsidRPr="00E87E7A">
        <w:rPr>
          <w:sz w:val="20"/>
          <w:szCs w:val="20"/>
          <w:lang w:val="en-US"/>
        </w:rPr>
        <w:t>Lichtman</w:t>
      </w:r>
      <w:proofErr w:type="spellEnd"/>
      <w:r w:rsidRPr="00E87E7A">
        <w:rPr>
          <w:sz w:val="20"/>
          <w:szCs w:val="20"/>
          <w:lang w:val="en-US"/>
        </w:rPr>
        <w:t xml:space="preserve"> JH, </w:t>
      </w:r>
      <w:proofErr w:type="spellStart"/>
      <w:r w:rsidRPr="00E87E7A">
        <w:rPr>
          <w:sz w:val="20"/>
          <w:szCs w:val="20"/>
          <w:lang w:val="en-US"/>
        </w:rPr>
        <w:t>Lisabeth</w:t>
      </w:r>
      <w:proofErr w:type="spellEnd"/>
      <w:r w:rsidRPr="00E87E7A">
        <w:rPr>
          <w:sz w:val="20"/>
          <w:szCs w:val="20"/>
          <w:lang w:val="en-US"/>
        </w:rPr>
        <w:t xml:space="preserve"> LD, Liu S, Mackey RH, </w:t>
      </w:r>
      <w:proofErr w:type="spellStart"/>
      <w:r w:rsidRPr="00E87E7A">
        <w:rPr>
          <w:sz w:val="20"/>
          <w:szCs w:val="20"/>
          <w:lang w:val="en-US"/>
        </w:rPr>
        <w:t>Magid</w:t>
      </w:r>
      <w:proofErr w:type="spellEnd"/>
      <w:r w:rsidRPr="00E87E7A">
        <w:rPr>
          <w:sz w:val="20"/>
          <w:szCs w:val="20"/>
          <w:lang w:val="en-US"/>
        </w:rPr>
        <w:t xml:space="preserve"> DJ, McGuire DK, </w:t>
      </w:r>
      <w:proofErr w:type="spellStart"/>
      <w:r w:rsidRPr="00E87E7A">
        <w:rPr>
          <w:sz w:val="20"/>
          <w:szCs w:val="20"/>
          <w:lang w:val="en-US"/>
        </w:rPr>
        <w:t>Mohler</w:t>
      </w:r>
      <w:proofErr w:type="spellEnd"/>
      <w:r w:rsidRPr="00E87E7A">
        <w:rPr>
          <w:sz w:val="20"/>
          <w:szCs w:val="20"/>
          <w:lang w:val="en-US"/>
        </w:rPr>
        <w:t xml:space="preserve"> ER III, Moy CS, </w:t>
      </w:r>
      <w:proofErr w:type="spellStart"/>
      <w:r w:rsidRPr="00E87E7A">
        <w:rPr>
          <w:sz w:val="20"/>
          <w:szCs w:val="20"/>
          <w:lang w:val="en-US"/>
        </w:rPr>
        <w:t>Muntner</w:t>
      </w:r>
      <w:proofErr w:type="spellEnd"/>
      <w:r w:rsidRPr="00E87E7A">
        <w:rPr>
          <w:sz w:val="20"/>
          <w:szCs w:val="20"/>
          <w:lang w:val="en-US"/>
        </w:rPr>
        <w:t xml:space="preserve"> P, </w:t>
      </w:r>
      <w:proofErr w:type="spellStart"/>
      <w:r w:rsidRPr="00E87E7A">
        <w:rPr>
          <w:sz w:val="20"/>
          <w:szCs w:val="20"/>
          <w:lang w:val="en-US"/>
        </w:rPr>
        <w:t>Mussolino</w:t>
      </w:r>
      <w:proofErr w:type="spellEnd"/>
      <w:r w:rsidRPr="00E87E7A">
        <w:rPr>
          <w:sz w:val="20"/>
          <w:szCs w:val="20"/>
          <w:lang w:val="en-US"/>
        </w:rPr>
        <w:t xml:space="preserve"> ME, </w:t>
      </w:r>
      <w:proofErr w:type="spellStart"/>
      <w:r w:rsidRPr="00E87E7A">
        <w:rPr>
          <w:sz w:val="20"/>
          <w:szCs w:val="20"/>
          <w:lang w:val="en-US"/>
        </w:rPr>
        <w:t>Nasir</w:t>
      </w:r>
      <w:proofErr w:type="spellEnd"/>
      <w:r w:rsidRPr="00E87E7A">
        <w:rPr>
          <w:sz w:val="20"/>
          <w:szCs w:val="20"/>
          <w:lang w:val="en-US"/>
        </w:rPr>
        <w:t xml:space="preserve"> K, </w:t>
      </w:r>
      <w:proofErr w:type="spellStart"/>
      <w:r w:rsidRPr="00E87E7A">
        <w:rPr>
          <w:sz w:val="20"/>
          <w:szCs w:val="20"/>
          <w:lang w:val="en-US"/>
        </w:rPr>
        <w:t>Neumar</w:t>
      </w:r>
      <w:proofErr w:type="spellEnd"/>
      <w:r w:rsidRPr="00E87E7A">
        <w:rPr>
          <w:sz w:val="20"/>
          <w:szCs w:val="20"/>
          <w:lang w:val="en-US"/>
        </w:rPr>
        <w:t xml:space="preserve"> RW, Nichol G, </w:t>
      </w:r>
      <w:proofErr w:type="spellStart"/>
      <w:r w:rsidRPr="00E87E7A">
        <w:rPr>
          <w:sz w:val="20"/>
          <w:szCs w:val="20"/>
          <w:lang w:val="en-US"/>
        </w:rPr>
        <w:t>Palaniappan</w:t>
      </w:r>
      <w:proofErr w:type="spellEnd"/>
      <w:r w:rsidRPr="00E87E7A">
        <w:rPr>
          <w:sz w:val="20"/>
          <w:szCs w:val="20"/>
          <w:lang w:val="en-US"/>
        </w:rPr>
        <w:t xml:space="preserve"> L, </w:t>
      </w:r>
      <w:proofErr w:type="spellStart"/>
      <w:r w:rsidRPr="00E87E7A">
        <w:rPr>
          <w:sz w:val="20"/>
          <w:szCs w:val="20"/>
          <w:lang w:val="en-US"/>
        </w:rPr>
        <w:t>Pandey</w:t>
      </w:r>
      <w:proofErr w:type="spellEnd"/>
      <w:r w:rsidRPr="00E87E7A">
        <w:rPr>
          <w:sz w:val="20"/>
          <w:szCs w:val="20"/>
          <w:lang w:val="en-US"/>
        </w:rPr>
        <w:t xml:space="preserve"> DK, Reeves MJ, Rodriguez CJ, Rosamond W, </w:t>
      </w:r>
      <w:proofErr w:type="spellStart"/>
      <w:r w:rsidRPr="00E87E7A">
        <w:rPr>
          <w:sz w:val="20"/>
          <w:szCs w:val="20"/>
          <w:lang w:val="en-US"/>
        </w:rPr>
        <w:t>Sorlie</w:t>
      </w:r>
      <w:proofErr w:type="spellEnd"/>
      <w:r w:rsidRPr="00E87E7A">
        <w:rPr>
          <w:sz w:val="20"/>
          <w:szCs w:val="20"/>
          <w:lang w:val="en-US"/>
        </w:rPr>
        <w:t xml:space="preserve"> PD, Stein J, </w:t>
      </w:r>
      <w:proofErr w:type="spellStart"/>
      <w:r w:rsidRPr="00E87E7A">
        <w:rPr>
          <w:sz w:val="20"/>
          <w:szCs w:val="20"/>
          <w:lang w:val="en-US"/>
        </w:rPr>
        <w:t>Towfighi</w:t>
      </w:r>
      <w:proofErr w:type="spellEnd"/>
      <w:r w:rsidRPr="00E87E7A">
        <w:rPr>
          <w:sz w:val="20"/>
          <w:szCs w:val="20"/>
          <w:lang w:val="en-US"/>
        </w:rPr>
        <w:t xml:space="preserve"> A, </w:t>
      </w:r>
      <w:proofErr w:type="spellStart"/>
      <w:r w:rsidRPr="00E87E7A">
        <w:rPr>
          <w:sz w:val="20"/>
          <w:szCs w:val="20"/>
          <w:lang w:val="en-US"/>
        </w:rPr>
        <w:t>Turan</w:t>
      </w:r>
      <w:proofErr w:type="spellEnd"/>
      <w:r w:rsidRPr="00E87E7A">
        <w:rPr>
          <w:sz w:val="20"/>
          <w:szCs w:val="20"/>
          <w:lang w:val="en-US"/>
        </w:rPr>
        <w:t xml:space="preserve"> TN, </w:t>
      </w:r>
      <w:proofErr w:type="spellStart"/>
      <w:r w:rsidRPr="00E87E7A">
        <w:rPr>
          <w:sz w:val="20"/>
          <w:szCs w:val="20"/>
          <w:lang w:val="en-US"/>
        </w:rPr>
        <w:t>Virani</w:t>
      </w:r>
      <w:proofErr w:type="spellEnd"/>
      <w:r w:rsidRPr="00E87E7A">
        <w:rPr>
          <w:sz w:val="20"/>
          <w:szCs w:val="20"/>
          <w:lang w:val="en-US"/>
        </w:rPr>
        <w:t xml:space="preserve"> SS, Woo D, </w:t>
      </w:r>
      <w:proofErr w:type="spellStart"/>
      <w:r w:rsidRPr="00E87E7A">
        <w:rPr>
          <w:sz w:val="20"/>
          <w:szCs w:val="20"/>
          <w:lang w:val="en-US"/>
        </w:rPr>
        <w:t>Yeh</w:t>
      </w:r>
      <w:proofErr w:type="spellEnd"/>
      <w:r w:rsidRPr="00E87E7A">
        <w:rPr>
          <w:sz w:val="20"/>
          <w:szCs w:val="20"/>
          <w:lang w:val="en-US"/>
        </w:rPr>
        <w:t xml:space="preserve"> RW, Turner MB; the American Heart Association Statistics Committee; Stroke Statistics Subcommittee. Heart disease and stroke statistics – 2016 update: a report from the American Heart Association. Circulation 2016</w:t>
      </w:r>
    </w:p>
  </w:endnote>
  <w:endnote w:id="7">
    <w:p w14:paraId="00000014" w14:textId="77777777" w:rsidR="00E87E7A" w:rsidRPr="00E87E7A" w:rsidRDefault="00E87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color w:val="000000"/>
          <w:sz w:val="20"/>
          <w:szCs w:val="20"/>
          <w:lang w:val="en-US"/>
        </w:rPr>
        <w:t xml:space="preserve"> Yusuf S, Zhao F, Mehta SR, </w:t>
      </w:r>
      <w:proofErr w:type="spellStart"/>
      <w:r w:rsidRPr="00E87E7A">
        <w:rPr>
          <w:color w:val="000000"/>
          <w:sz w:val="20"/>
          <w:szCs w:val="20"/>
          <w:lang w:val="en-US"/>
        </w:rPr>
        <w:t>Chrolavicius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E87E7A">
        <w:rPr>
          <w:color w:val="000000"/>
          <w:sz w:val="20"/>
          <w:szCs w:val="20"/>
          <w:lang w:val="en-US"/>
        </w:rPr>
        <w:t>Tognoni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G, Fox KK, </w:t>
      </w:r>
      <w:proofErr w:type="spellStart"/>
      <w:r w:rsidRPr="00E87E7A">
        <w:rPr>
          <w:color w:val="000000"/>
          <w:sz w:val="20"/>
          <w:szCs w:val="20"/>
          <w:lang w:val="en-US"/>
        </w:rPr>
        <w:t>Clopidogrel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in Unstable Angina to Prevent Recurrent Events Trial Investigators. </w:t>
      </w:r>
      <w:proofErr w:type="gramStart"/>
      <w:r w:rsidRPr="00E87E7A">
        <w:rPr>
          <w:color w:val="000000"/>
          <w:sz w:val="20"/>
          <w:szCs w:val="20"/>
          <w:lang w:val="en-US"/>
        </w:rPr>
        <w:t xml:space="preserve">Effects of </w:t>
      </w:r>
      <w:proofErr w:type="spellStart"/>
      <w:r w:rsidRPr="00E87E7A">
        <w:rPr>
          <w:color w:val="000000"/>
          <w:sz w:val="20"/>
          <w:szCs w:val="20"/>
          <w:lang w:val="en-US"/>
        </w:rPr>
        <w:t>clopidogrel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in addition to aspirin in patients with acute coronary syndromes without ST-segment elevation.</w:t>
      </w:r>
      <w:proofErr w:type="gramEnd"/>
      <w:r w:rsidRPr="00E87E7A">
        <w:rPr>
          <w:color w:val="000000"/>
          <w:sz w:val="20"/>
          <w:szCs w:val="20"/>
          <w:lang w:val="en-US"/>
        </w:rPr>
        <w:t xml:space="preserve"> N </w:t>
      </w:r>
      <w:proofErr w:type="spellStart"/>
      <w:r w:rsidRPr="00E87E7A">
        <w:rPr>
          <w:color w:val="000000"/>
          <w:sz w:val="20"/>
          <w:szCs w:val="20"/>
          <w:lang w:val="en-US"/>
        </w:rPr>
        <w:t>Engl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J Med 2001</w:t>
      </w:r>
    </w:p>
  </w:endnote>
  <w:endnote w:id="8">
    <w:p w14:paraId="00000015" w14:textId="77777777" w:rsidR="00E87E7A" w:rsidRPr="00E87E7A" w:rsidRDefault="00E87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E87E7A">
        <w:rPr>
          <w:color w:val="000000"/>
          <w:sz w:val="20"/>
          <w:szCs w:val="20"/>
          <w:lang w:val="en-US"/>
        </w:rPr>
        <w:t>Steinhubl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SR, Berger PB, Mann JT III, Fry ET, </w:t>
      </w:r>
      <w:proofErr w:type="spellStart"/>
      <w:r w:rsidRPr="00E87E7A">
        <w:rPr>
          <w:color w:val="000000"/>
          <w:sz w:val="20"/>
          <w:szCs w:val="20"/>
          <w:lang w:val="en-US"/>
        </w:rPr>
        <w:t>DeLago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A, Wilmer C, </w:t>
      </w:r>
      <w:proofErr w:type="spellStart"/>
      <w:r w:rsidRPr="00E87E7A">
        <w:rPr>
          <w:color w:val="000000"/>
          <w:sz w:val="20"/>
          <w:szCs w:val="20"/>
          <w:lang w:val="en-US"/>
        </w:rPr>
        <w:t>Topol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EJ. Early and sustained dual oral antiplatelet therapy following percutaneous coronary intervention: a randomized controlled trial. JAMA 2002</w:t>
      </w:r>
    </w:p>
  </w:endnote>
  <w:endnote w:id="9">
    <w:p w14:paraId="00000016" w14:textId="77777777" w:rsidR="00E87E7A" w:rsidRPr="00E87E7A" w:rsidRDefault="00E87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E87E7A">
        <w:rPr>
          <w:color w:val="000000"/>
          <w:sz w:val="20"/>
          <w:szCs w:val="20"/>
          <w:lang w:val="en-US"/>
        </w:rPr>
        <w:t>Bonaca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MP, Bhatt DL, Cohen M, </w:t>
      </w:r>
      <w:proofErr w:type="spellStart"/>
      <w:r w:rsidRPr="00E87E7A">
        <w:rPr>
          <w:color w:val="000000"/>
          <w:sz w:val="20"/>
          <w:szCs w:val="20"/>
          <w:lang w:val="en-US"/>
        </w:rPr>
        <w:t>Steg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PG, </w:t>
      </w:r>
      <w:proofErr w:type="spellStart"/>
      <w:r w:rsidRPr="00E87E7A">
        <w:rPr>
          <w:color w:val="000000"/>
          <w:sz w:val="20"/>
          <w:szCs w:val="20"/>
          <w:lang w:val="en-US"/>
        </w:rPr>
        <w:t>Storey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RF, Jensen EC, </w:t>
      </w:r>
      <w:proofErr w:type="spellStart"/>
      <w:r w:rsidRPr="00E87E7A">
        <w:rPr>
          <w:color w:val="000000"/>
          <w:sz w:val="20"/>
          <w:szCs w:val="20"/>
          <w:lang w:val="en-US"/>
        </w:rPr>
        <w:t>Magnani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E87E7A">
        <w:rPr>
          <w:color w:val="000000"/>
          <w:sz w:val="20"/>
          <w:szCs w:val="20"/>
          <w:lang w:val="en-US"/>
        </w:rPr>
        <w:t>Bansilal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S, Fish MP, </w:t>
      </w:r>
      <w:proofErr w:type="spellStart"/>
      <w:r w:rsidRPr="00E87E7A">
        <w:rPr>
          <w:color w:val="000000"/>
          <w:sz w:val="20"/>
          <w:szCs w:val="20"/>
          <w:lang w:val="en-US"/>
        </w:rPr>
        <w:t>Im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K, </w:t>
      </w:r>
      <w:proofErr w:type="spellStart"/>
      <w:r w:rsidRPr="00E87E7A">
        <w:rPr>
          <w:color w:val="000000"/>
          <w:sz w:val="20"/>
          <w:szCs w:val="20"/>
          <w:lang w:val="en-US"/>
        </w:rPr>
        <w:t>Bengtsson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O, Oude </w:t>
      </w:r>
      <w:proofErr w:type="spellStart"/>
      <w:r w:rsidRPr="00E87E7A">
        <w:rPr>
          <w:color w:val="000000"/>
          <w:sz w:val="20"/>
          <w:szCs w:val="20"/>
          <w:lang w:val="en-US"/>
        </w:rPr>
        <w:t>Ophuis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T, </w:t>
      </w:r>
      <w:proofErr w:type="spellStart"/>
      <w:r w:rsidRPr="00E87E7A">
        <w:rPr>
          <w:color w:val="000000"/>
          <w:sz w:val="20"/>
          <w:szCs w:val="20"/>
          <w:lang w:val="en-US"/>
        </w:rPr>
        <w:t>Budaj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A, Theroux P, </w:t>
      </w:r>
      <w:proofErr w:type="spellStart"/>
      <w:r w:rsidRPr="00E87E7A">
        <w:rPr>
          <w:color w:val="000000"/>
          <w:sz w:val="20"/>
          <w:szCs w:val="20"/>
          <w:lang w:val="en-US"/>
        </w:rPr>
        <w:t>Ruda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M, Hamm C, </w:t>
      </w:r>
      <w:proofErr w:type="spellStart"/>
      <w:r w:rsidRPr="00E87E7A">
        <w:rPr>
          <w:color w:val="000000"/>
          <w:sz w:val="20"/>
          <w:szCs w:val="20"/>
          <w:lang w:val="en-US"/>
        </w:rPr>
        <w:t>Goto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E87E7A">
        <w:rPr>
          <w:color w:val="000000"/>
          <w:sz w:val="20"/>
          <w:szCs w:val="20"/>
          <w:lang w:val="en-US"/>
        </w:rPr>
        <w:t>Spinar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J, </w:t>
      </w:r>
      <w:proofErr w:type="spellStart"/>
      <w:r w:rsidRPr="00E87E7A">
        <w:rPr>
          <w:color w:val="000000"/>
          <w:sz w:val="20"/>
          <w:szCs w:val="20"/>
          <w:lang w:val="en-US"/>
        </w:rPr>
        <w:t>Nicolau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JC, Kiss RG, Murphy SA, </w:t>
      </w:r>
      <w:proofErr w:type="spellStart"/>
      <w:r w:rsidRPr="00E87E7A">
        <w:rPr>
          <w:color w:val="000000"/>
          <w:sz w:val="20"/>
          <w:szCs w:val="20"/>
          <w:lang w:val="en-US"/>
        </w:rPr>
        <w:t>Wiviott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SD, Held P, </w:t>
      </w:r>
      <w:proofErr w:type="spellStart"/>
      <w:r w:rsidRPr="00E87E7A">
        <w:rPr>
          <w:color w:val="000000"/>
          <w:sz w:val="20"/>
          <w:szCs w:val="20"/>
          <w:lang w:val="en-US"/>
        </w:rPr>
        <w:t>Braunwald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E, </w:t>
      </w:r>
      <w:proofErr w:type="spellStart"/>
      <w:r w:rsidRPr="00E87E7A">
        <w:rPr>
          <w:color w:val="000000"/>
          <w:sz w:val="20"/>
          <w:szCs w:val="20"/>
          <w:lang w:val="en-US"/>
        </w:rPr>
        <w:t>Sabatine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MS; PEGASUS-TIMI 54 Steering Committee and Investigators. </w:t>
      </w:r>
      <w:proofErr w:type="gramStart"/>
      <w:r w:rsidRPr="00E87E7A">
        <w:rPr>
          <w:color w:val="000000"/>
          <w:sz w:val="20"/>
          <w:szCs w:val="20"/>
          <w:lang w:val="en-US"/>
        </w:rPr>
        <w:t xml:space="preserve">Long-term use of </w:t>
      </w:r>
      <w:proofErr w:type="spellStart"/>
      <w:r w:rsidRPr="00E87E7A">
        <w:rPr>
          <w:color w:val="000000"/>
          <w:sz w:val="20"/>
          <w:szCs w:val="20"/>
          <w:lang w:val="en-US"/>
        </w:rPr>
        <w:t>ticagrelor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in patients with prior myocardial infarction.</w:t>
      </w:r>
      <w:proofErr w:type="gramEnd"/>
      <w:r w:rsidRPr="00E87E7A">
        <w:rPr>
          <w:color w:val="000000"/>
          <w:sz w:val="20"/>
          <w:szCs w:val="20"/>
          <w:lang w:val="en-US"/>
        </w:rPr>
        <w:t xml:space="preserve"> N </w:t>
      </w:r>
      <w:proofErr w:type="spellStart"/>
      <w:r w:rsidRPr="00E87E7A">
        <w:rPr>
          <w:color w:val="000000"/>
          <w:sz w:val="20"/>
          <w:szCs w:val="20"/>
          <w:lang w:val="en-US"/>
        </w:rPr>
        <w:t>Engl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J Med 2015</w:t>
      </w:r>
    </w:p>
  </w:endnote>
  <w:endnote w:id="10">
    <w:p w14:paraId="00000017" w14:textId="77777777" w:rsidR="00E87E7A" w:rsidRDefault="00E87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endnoteRef/>
      </w:r>
      <w:r w:rsidRPr="00E87E7A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E87E7A">
        <w:rPr>
          <w:color w:val="000000"/>
          <w:sz w:val="20"/>
          <w:szCs w:val="20"/>
          <w:lang w:val="en-US"/>
        </w:rPr>
        <w:t>Yeh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RW, </w:t>
      </w:r>
      <w:proofErr w:type="spellStart"/>
      <w:r w:rsidRPr="00E87E7A">
        <w:rPr>
          <w:color w:val="000000"/>
          <w:sz w:val="20"/>
          <w:szCs w:val="20"/>
          <w:lang w:val="en-US"/>
        </w:rPr>
        <w:t>Kereiakes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DJ, </w:t>
      </w:r>
      <w:proofErr w:type="spellStart"/>
      <w:r w:rsidRPr="00E87E7A">
        <w:rPr>
          <w:color w:val="000000"/>
          <w:sz w:val="20"/>
          <w:szCs w:val="20"/>
          <w:lang w:val="en-US"/>
        </w:rPr>
        <w:t>Steg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PG, </w:t>
      </w:r>
      <w:proofErr w:type="spellStart"/>
      <w:r w:rsidRPr="00E87E7A">
        <w:rPr>
          <w:color w:val="000000"/>
          <w:sz w:val="20"/>
          <w:szCs w:val="20"/>
          <w:lang w:val="en-US"/>
        </w:rPr>
        <w:t>Windecker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E87E7A">
        <w:rPr>
          <w:color w:val="000000"/>
          <w:sz w:val="20"/>
          <w:szCs w:val="20"/>
          <w:lang w:val="en-US"/>
        </w:rPr>
        <w:t>Rinaldi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MJ, </w:t>
      </w:r>
      <w:proofErr w:type="spellStart"/>
      <w:r w:rsidRPr="00E87E7A">
        <w:rPr>
          <w:color w:val="000000"/>
          <w:sz w:val="20"/>
          <w:szCs w:val="20"/>
          <w:lang w:val="en-US"/>
        </w:rPr>
        <w:t>Gershlick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AH, </w:t>
      </w:r>
      <w:proofErr w:type="spellStart"/>
      <w:r w:rsidRPr="00E87E7A">
        <w:rPr>
          <w:color w:val="000000"/>
          <w:sz w:val="20"/>
          <w:szCs w:val="20"/>
          <w:lang w:val="en-US"/>
        </w:rPr>
        <w:t>Cutlip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DE, Cohen DJ, </w:t>
      </w:r>
      <w:proofErr w:type="spellStart"/>
      <w:r w:rsidRPr="00E87E7A">
        <w:rPr>
          <w:color w:val="000000"/>
          <w:sz w:val="20"/>
          <w:szCs w:val="20"/>
          <w:lang w:val="en-US"/>
        </w:rPr>
        <w:t>Tanguay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JF, Jacobs A, </w:t>
      </w:r>
      <w:proofErr w:type="spellStart"/>
      <w:r w:rsidRPr="00E87E7A">
        <w:rPr>
          <w:color w:val="000000"/>
          <w:sz w:val="20"/>
          <w:szCs w:val="20"/>
          <w:lang w:val="en-US"/>
        </w:rPr>
        <w:t>Wiviott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SD, </w:t>
      </w:r>
      <w:proofErr w:type="spellStart"/>
      <w:r w:rsidRPr="00E87E7A">
        <w:rPr>
          <w:color w:val="000000"/>
          <w:sz w:val="20"/>
          <w:szCs w:val="20"/>
          <w:lang w:val="en-US"/>
        </w:rPr>
        <w:t>Massaro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JM, </w:t>
      </w:r>
      <w:proofErr w:type="spellStart"/>
      <w:r w:rsidRPr="00E87E7A">
        <w:rPr>
          <w:color w:val="000000"/>
          <w:sz w:val="20"/>
          <w:szCs w:val="20"/>
          <w:lang w:val="en-US"/>
        </w:rPr>
        <w:t>Iancu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AC, </w:t>
      </w:r>
      <w:proofErr w:type="spellStart"/>
      <w:r w:rsidRPr="00E87E7A">
        <w:rPr>
          <w:color w:val="000000"/>
          <w:sz w:val="20"/>
          <w:szCs w:val="20"/>
          <w:lang w:val="en-US"/>
        </w:rPr>
        <w:t>Mauri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L, for the DAPT Study Investigators. </w:t>
      </w:r>
      <w:proofErr w:type="gramStart"/>
      <w:r w:rsidRPr="00E87E7A">
        <w:rPr>
          <w:color w:val="000000"/>
          <w:sz w:val="20"/>
          <w:szCs w:val="20"/>
          <w:lang w:val="en-US"/>
        </w:rPr>
        <w:t>Benefits and risks of extended duration dual antiplatelet therapy after PCI in patients with and without acute myocardial infarction.</w:t>
      </w:r>
      <w:proofErr w:type="gramEnd"/>
      <w:r w:rsidRPr="00E87E7A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</w:rPr>
        <w:t xml:space="preserve">J </w:t>
      </w:r>
      <w:proofErr w:type="spellStart"/>
      <w:r>
        <w:rPr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Coll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Cardiol</w:t>
      </w:r>
      <w:proofErr w:type="spellEnd"/>
      <w:r>
        <w:rPr>
          <w:color w:val="000000"/>
          <w:sz w:val="20"/>
          <w:szCs w:val="20"/>
        </w:rPr>
        <w:t xml:space="preserve"> 2015</w:t>
      </w:r>
    </w:p>
  </w:endnote>
  <w:endnote w:id="11">
    <w:p w14:paraId="00000018" w14:textId="77777777" w:rsidR="00E87E7A" w:rsidRDefault="00E87E7A">
      <w:pPr>
        <w:spacing w:line="240" w:lineRule="auto"/>
        <w:rPr>
          <w:sz w:val="20"/>
          <w:szCs w:val="20"/>
        </w:rPr>
      </w:pPr>
      <w:r>
        <w:rPr>
          <w:vertAlign w:val="superscript"/>
        </w:rPr>
        <w:endnoteRef/>
      </w:r>
      <w:r>
        <w:rPr>
          <w:sz w:val="20"/>
          <w:szCs w:val="20"/>
        </w:rPr>
        <w:t xml:space="preserve"> А.Д. Эрлих. Двойная </w:t>
      </w:r>
      <w:proofErr w:type="spellStart"/>
      <w:r>
        <w:rPr>
          <w:sz w:val="20"/>
          <w:szCs w:val="20"/>
        </w:rPr>
        <w:t>антитромбоцитарная</w:t>
      </w:r>
      <w:proofErr w:type="spellEnd"/>
      <w:r>
        <w:rPr>
          <w:sz w:val="20"/>
          <w:szCs w:val="20"/>
        </w:rPr>
        <w:t xml:space="preserve"> терапия: необходимость приверженности к лечению и возможности ее повышения. Специализированный медицинский журнал. 2014</w:t>
      </w:r>
    </w:p>
  </w:endnote>
  <w:endnote w:id="12">
    <w:p w14:paraId="00000019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Varenhorst</w:t>
      </w:r>
      <w:proofErr w:type="spellEnd"/>
      <w:r w:rsidRPr="00E87E7A">
        <w:rPr>
          <w:sz w:val="20"/>
          <w:szCs w:val="20"/>
          <w:lang w:val="en-US"/>
        </w:rPr>
        <w:t xml:space="preserve"> C, </w:t>
      </w:r>
      <w:proofErr w:type="spellStart"/>
      <w:r w:rsidRPr="00E87E7A">
        <w:rPr>
          <w:sz w:val="20"/>
          <w:szCs w:val="20"/>
          <w:lang w:val="en-US"/>
        </w:rPr>
        <w:t>Jensevik</w:t>
      </w:r>
      <w:proofErr w:type="spellEnd"/>
      <w:r w:rsidRPr="00E87E7A">
        <w:rPr>
          <w:sz w:val="20"/>
          <w:szCs w:val="20"/>
          <w:lang w:val="en-US"/>
        </w:rPr>
        <w:t xml:space="preserve"> K, </w:t>
      </w:r>
      <w:proofErr w:type="spellStart"/>
      <w:r w:rsidRPr="00E87E7A">
        <w:rPr>
          <w:sz w:val="20"/>
          <w:szCs w:val="20"/>
          <w:lang w:val="en-US"/>
        </w:rPr>
        <w:t>Jernberg</w:t>
      </w:r>
      <w:proofErr w:type="spellEnd"/>
      <w:r w:rsidRPr="00E87E7A">
        <w:rPr>
          <w:sz w:val="20"/>
          <w:szCs w:val="20"/>
          <w:lang w:val="en-US"/>
        </w:rPr>
        <w:t xml:space="preserve"> T et al. Duration of dual antiplatelet treatment with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and aspirin in patients with </w:t>
      </w:r>
      <w:proofErr w:type="spellStart"/>
      <w:r w:rsidRPr="00E87E7A">
        <w:rPr>
          <w:sz w:val="20"/>
          <w:szCs w:val="20"/>
          <w:lang w:val="en-US"/>
        </w:rPr>
        <w:t>actue</w:t>
      </w:r>
      <w:proofErr w:type="spellEnd"/>
      <w:r w:rsidRPr="00E87E7A">
        <w:rPr>
          <w:sz w:val="20"/>
          <w:szCs w:val="20"/>
          <w:lang w:val="en-US"/>
        </w:rPr>
        <w:t xml:space="preserve"> coronary syndrome. </w:t>
      </w:r>
      <w:proofErr w:type="spellStart"/>
      <w:r w:rsidRPr="00E87E7A">
        <w:rPr>
          <w:sz w:val="20"/>
          <w:szCs w:val="20"/>
          <w:lang w:val="en-US"/>
        </w:rPr>
        <w:t>Eur</w:t>
      </w:r>
      <w:proofErr w:type="spellEnd"/>
      <w:r w:rsidRPr="00E87E7A">
        <w:rPr>
          <w:sz w:val="20"/>
          <w:szCs w:val="20"/>
          <w:lang w:val="en-US"/>
        </w:rPr>
        <w:t xml:space="preserve"> Heart J, 2013</w:t>
      </w:r>
    </w:p>
  </w:endnote>
  <w:endnote w:id="13">
    <w:p w14:paraId="0000001A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Ho PM, </w:t>
      </w:r>
      <w:proofErr w:type="spellStart"/>
      <w:r w:rsidRPr="00E87E7A">
        <w:rPr>
          <w:sz w:val="20"/>
          <w:szCs w:val="20"/>
          <w:lang w:val="en-US"/>
        </w:rPr>
        <w:t>Fihn</w:t>
      </w:r>
      <w:proofErr w:type="spellEnd"/>
      <w:r w:rsidRPr="00E87E7A">
        <w:rPr>
          <w:sz w:val="20"/>
          <w:szCs w:val="20"/>
          <w:lang w:val="en-US"/>
        </w:rPr>
        <w:t xml:space="preserve"> SD, Wang L, et al.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and long-term outcomes after stent implantation for acute coronary syndrome. Am Heart J. 2007</w:t>
      </w:r>
    </w:p>
  </w:endnote>
  <w:endnote w:id="14">
    <w:p w14:paraId="0000001B" w14:textId="77777777" w:rsidR="00E87E7A" w:rsidRPr="00E87E7A" w:rsidRDefault="00E87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color w:val="000000"/>
          <w:sz w:val="20"/>
          <w:szCs w:val="20"/>
          <w:lang w:val="en-US"/>
        </w:rPr>
        <w:t xml:space="preserve"> Ho PM, </w:t>
      </w:r>
      <w:proofErr w:type="spellStart"/>
      <w:r w:rsidRPr="00E87E7A">
        <w:rPr>
          <w:color w:val="000000"/>
          <w:sz w:val="20"/>
          <w:szCs w:val="20"/>
          <w:lang w:val="en-US"/>
        </w:rPr>
        <w:t>Fihn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SD, Wang L, et al. </w:t>
      </w:r>
      <w:proofErr w:type="spellStart"/>
      <w:r w:rsidRPr="00E87E7A">
        <w:rPr>
          <w:color w:val="000000"/>
          <w:sz w:val="20"/>
          <w:szCs w:val="20"/>
          <w:lang w:val="en-US"/>
        </w:rPr>
        <w:t>Clopidogrel</w:t>
      </w:r>
      <w:proofErr w:type="spellEnd"/>
      <w:r w:rsidRPr="00E87E7A">
        <w:rPr>
          <w:color w:val="000000"/>
          <w:sz w:val="20"/>
          <w:szCs w:val="20"/>
          <w:lang w:val="en-US"/>
        </w:rPr>
        <w:t xml:space="preserve"> and long-term outcomes after stent implantation for acute coronary syndrome. Am Heart J. 2007</w:t>
      </w:r>
    </w:p>
  </w:endnote>
  <w:endnote w:id="15">
    <w:p w14:paraId="0000001C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Cholesterol Treatment </w:t>
      </w:r>
      <w:proofErr w:type="spellStart"/>
      <w:r w:rsidRPr="00E87E7A">
        <w:rPr>
          <w:sz w:val="20"/>
          <w:szCs w:val="20"/>
          <w:lang w:val="en-US"/>
        </w:rPr>
        <w:t>Trialists</w:t>
      </w:r>
      <w:proofErr w:type="spellEnd"/>
      <w:r w:rsidRPr="00E87E7A">
        <w:rPr>
          <w:sz w:val="20"/>
          <w:szCs w:val="20"/>
          <w:lang w:val="en-US"/>
        </w:rPr>
        <w:t xml:space="preserve">’ (CTT) Collaboration, </w:t>
      </w:r>
      <w:proofErr w:type="spellStart"/>
      <w:r w:rsidRPr="00E87E7A">
        <w:rPr>
          <w:sz w:val="20"/>
          <w:szCs w:val="20"/>
          <w:lang w:val="en-US"/>
        </w:rPr>
        <w:t>Baigent</w:t>
      </w:r>
      <w:proofErr w:type="spellEnd"/>
      <w:r w:rsidRPr="00E87E7A">
        <w:rPr>
          <w:sz w:val="20"/>
          <w:szCs w:val="20"/>
          <w:lang w:val="en-US"/>
        </w:rPr>
        <w:t xml:space="preserve"> C, Blackwell L, </w:t>
      </w:r>
      <w:proofErr w:type="spellStart"/>
      <w:r w:rsidRPr="00E87E7A">
        <w:rPr>
          <w:sz w:val="20"/>
          <w:szCs w:val="20"/>
          <w:lang w:val="en-US"/>
        </w:rPr>
        <w:t>Emberson</w:t>
      </w:r>
      <w:proofErr w:type="spellEnd"/>
      <w:r w:rsidRPr="00E87E7A">
        <w:rPr>
          <w:sz w:val="20"/>
          <w:szCs w:val="20"/>
          <w:lang w:val="en-US"/>
        </w:rPr>
        <w:t xml:space="preserve"> J, Holland LE, Reith C, </w:t>
      </w:r>
      <w:proofErr w:type="spellStart"/>
      <w:r w:rsidRPr="00E87E7A">
        <w:rPr>
          <w:sz w:val="20"/>
          <w:szCs w:val="20"/>
          <w:lang w:val="en-US"/>
        </w:rPr>
        <w:t>Bhala</w:t>
      </w:r>
      <w:proofErr w:type="spellEnd"/>
      <w:r w:rsidRPr="00E87E7A">
        <w:rPr>
          <w:sz w:val="20"/>
          <w:szCs w:val="20"/>
          <w:lang w:val="en-US"/>
        </w:rPr>
        <w:t xml:space="preserve"> N, </w:t>
      </w:r>
      <w:proofErr w:type="spellStart"/>
      <w:r w:rsidRPr="00E87E7A">
        <w:rPr>
          <w:sz w:val="20"/>
          <w:szCs w:val="20"/>
          <w:lang w:val="en-US"/>
        </w:rPr>
        <w:t>Peto</w:t>
      </w:r>
      <w:proofErr w:type="spellEnd"/>
      <w:r w:rsidRPr="00E87E7A">
        <w:rPr>
          <w:sz w:val="20"/>
          <w:szCs w:val="20"/>
          <w:lang w:val="en-US"/>
        </w:rPr>
        <w:t xml:space="preserve"> R, Barnes EH, </w:t>
      </w:r>
      <w:proofErr w:type="spellStart"/>
      <w:r w:rsidRPr="00E87E7A">
        <w:rPr>
          <w:sz w:val="20"/>
          <w:szCs w:val="20"/>
          <w:lang w:val="en-US"/>
        </w:rPr>
        <w:t>Keech</w:t>
      </w:r>
      <w:proofErr w:type="spellEnd"/>
      <w:r w:rsidRPr="00E87E7A">
        <w:rPr>
          <w:sz w:val="20"/>
          <w:szCs w:val="20"/>
          <w:lang w:val="en-US"/>
        </w:rPr>
        <w:t xml:space="preserve"> A, </w:t>
      </w:r>
      <w:proofErr w:type="spellStart"/>
      <w:r w:rsidRPr="00E87E7A">
        <w:rPr>
          <w:sz w:val="20"/>
          <w:szCs w:val="20"/>
          <w:lang w:val="en-US"/>
        </w:rPr>
        <w:t>Simes</w:t>
      </w:r>
      <w:proofErr w:type="spellEnd"/>
      <w:r w:rsidRPr="00E87E7A">
        <w:rPr>
          <w:sz w:val="20"/>
          <w:szCs w:val="20"/>
          <w:lang w:val="en-US"/>
        </w:rPr>
        <w:t xml:space="preserve"> J, Collins R. Efficacy and safety of more intensive lowering of LDL cholesterol: a meta-analysis of data from 170,000 participants in 26 </w:t>
      </w:r>
      <w:proofErr w:type="spellStart"/>
      <w:r w:rsidRPr="00E87E7A">
        <w:rPr>
          <w:sz w:val="20"/>
          <w:szCs w:val="20"/>
          <w:lang w:val="en-US"/>
        </w:rPr>
        <w:t>randomised</w:t>
      </w:r>
      <w:proofErr w:type="spellEnd"/>
      <w:r w:rsidRPr="00E87E7A">
        <w:rPr>
          <w:sz w:val="20"/>
          <w:szCs w:val="20"/>
          <w:lang w:val="en-US"/>
        </w:rPr>
        <w:t xml:space="preserve"> trials. Lancet 2010</w:t>
      </w:r>
    </w:p>
  </w:endnote>
  <w:endnote w:id="16">
    <w:p w14:paraId="0000001D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Fox KM, </w:t>
      </w:r>
      <w:proofErr w:type="spellStart"/>
      <w:r w:rsidRPr="00E87E7A">
        <w:rPr>
          <w:sz w:val="20"/>
          <w:szCs w:val="20"/>
          <w:lang w:val="en-US"/>
        </w:rPr>
        <w:t>EURopean</w:t>
      </w:r>
      <w:proofErr w:type="spellEnd"/>
      <w:r w:rsidRPr="00E87E7A">
        <w:rPr>
          <w:sz w:val="20"/>
          <w:szCs w:val="20"/>
          <w:lang w:val="en-US"/>
        </w:rPr>
        <w:t xml:space="preserve"> trial </w:t>
      </w:r>
      <w:proofErr w:type="gramStart"/>
      <w:r w:rsidRPr="00E87E7A">
        <w:rPr>
          <w:sz w:val="20"/>
          <w:szCs w:val="20"/>
          <w:lang w:val="en-US"/>
        </w:rPr>
        <w:t>On</w:t>
      </w:r>
      <w:proofErr w:type="gramEnd"/>
      <w:r w:rsidRPr="00E87E7A">
        <w:rPr>
          <w:sz w:val="20"/>
          <w:szCs w:val="20"/>
          <w:lang w:val="en-US"/>
        </w:rPr>
        <w:t xml:space="preserve"> reduction of cardiac events with Perindopril in stable coronary Artery disease Investigators. Efficacy of perindopril in reduction of cardiovascular events among patients with stable coronary artery disease: </w:t>
      </w:r>
      <w:proofErr w:type="spellStart"/>
      <w:r w:rsidRPr="00E87E7A">
        <w:rPr>
          <w:sz w:val="20"/>
          <w:szCs w:val="20"/>
          <w:lang w:val="en-US"/>
        </w:rPr>
        <w:t>randomised</w:t>
      </w:r>
      <w:proofErr w:type="spellEnd"/>
      <w:r w:rsidRPr="00E87E7A">
        <w:rPr>
          <w:sz w:val="20"/>
          <w:szCs w:val="20"/>
          <w:lang w:val="en-US"/>
        </w:rPr>
        <w:t xml:space="preserve">, double-blind, placebo-controlled, </w:t>
      </w:r>
      <w:proofErr w:type="spellStart"/>
      <w:r w:rsidRPr="00E87E7A">
        <w:rPr>
          <w:sz w:val="20"/>
          <w:szCs w:val="20"/>
          <w:lang w:val="en-US"/>
        </w:rPr>
        <w:t>multicentre</w:t>
      </w:r>
      <w:proofErr w:type="spellEnd"/>
      <w:r w:rsidRPr="00E87E7A">
        <w:rPr>
          <w:sz w:val="20"/>
          <w:szCs w:val="20"/>
          <w:lang w:val="en-US"/>
        </w:rPr>
        <w:t xml:space="preserve"> trial (the EUROPA study). Lancet 2003</w:t>
      </w:r>
    </w:p>
  </w:endnote>
  <w:endnote w:id="17">
    <w:p w14:paraId="0000001E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Goldberger JJ, </w:t>
      </w:r>
      <w:proofErr w:type="spellStart"/>
      <w:r w:rsidRPr="00E87E7A">
        <w:rPr>
          <w:sz w:val="20"/>
          <w:szCs w:val="20"/>
          <w:lang w:val="en-US"/>
        </w:rPr>
        <w:t>Bonow</w:t>
      </w:r>
      <w:proofErr w:type="spellEnd"/>
      <w:r w:rsidRPr="00E87E7A">
        <w:rPr>
          <w:sz w:val="20"/>
          <w:szCs w:val="20"/>
          <w:lang w:val="en-US"/>
        </w:rPr>
        <w:t xml:space="preserve"> RO, </w:t>
      </w:r>
      <w:proofErr w:type="spellStart"/>
      <w:r w:rsidRPr="00E87E7A">
        <w:rPr>
          <w:sz w:val="20"/>
          <w:szCs w:val="20"/>
          <w:lang w:val="en-US"/>
        </w:rPr>
        <w:t>Cuffe</w:t>
      </w:r>
      <w:proofErr w:type="spellEnd"/>
      <w:r w:rsidRPr="00E87E7A">
        <w:rPr>
          <w:sz w:val="20"/>
          <w:szCs w:val="20"/>
          <w:lang w:val="en-US"/>
        </w:rPr>
        <w:t xml:space="preserve"> M, Liu L, Rosenberg Y, Shah PK, Smith SC, </w:t>
      </w:r>
      <w:proofErr w:type="spellStart"/>
      <w:r w:rsidRPr="00E87E7A">
        <w:rPr>
          <w:sz w:val="20"/>
          <w:szCs w:val="20"/>
          <w:lang w:val="en-US"/>
        </w:rPr>
        <w:t>Jr</w:t>
      </w:r>
      <w:proofErr w:type="spellEnd"/>
      <w:r w:rsidRPr="00E87E7A">
        <w:rPr>
          <w:sz w:val="20"/>
          <w:szCs w:val="20"/>
          <w:lang w:val="en-US"/>
        </w:rPr>
        <w:t xml:space="preserve">, </w:t>
      </w:r>
      <w:proofErr w:type="spellStart"/>
      <w:r w:rsidRPr="00E87E7A">
        <w:rPr>
          <w:sz w:val="20"/>
          <w:szCs w:val="20"/>
          <w:lang w:val="en-US"/>
        </w:rPr>
        <w:t>Subacius</w:t>
      </w:r>
      <w:proofErr w:type="spellEnd"/>
      <w:r w:rsidRPr="00E87E7A">
        <w:rPr>
          <w:sz w:val="20"/>
          <w:szCs w:val="20"/>
          <w:lang w:val="en-US"/>
        </w:rPr>
        <w:t xml:space="preserve"> H, OBTAIN Investigators. </w:t>
      </w:r>
      <w:proofErr w:type="gramStart"/>
      <w:r w:rsidRPr="00E87E7A">
        <w:rPr>
          <w:sz w:val="20"/>
          <w:szCs w:val="20"/>
          <w:lang w:val="en-US"/>
        </w:rPr>
        <w:t>Effect of beta-blocker dose on survival after acute myocardial infarction.</w:t>
      </w:r>
      <w:proofErr w:type="gramEnd"/>
      <w:r w:rsidRPr="00E87E7A">
        <w:rPr>
          <w:sz w:val="20"/>
          <w:szCs w:val="20"/>
          <w:lang w:val="en-US"/>
        </w:rPr>
        <w:t xml:space="preserve"> J Am </w:t>
      </w:r>
      <w:proofErr w:type="spellStart"/>
      <w:r w:rsidRPr="00E87E7A">
        <w:rPr>
          <w:sz w:val="20"/>
          <w:szCs w:val="20"/>
          <w:lang w:val="en-US"/>
        </w:rPr>
        <w:t>Coll</w:t>
      </w:r>
      <w:proofErr w:type="spellEnd"/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Cardiol</w:t>
      </w:r>
      <w:proofErr w:type="spellEnd"/>
      <w:r w:rsidRPr="00E87E7A">
        <w:rPr>
          <w:sz w:val="20"/>
          <w:szCs w:val="20"/>
          <w:lang w:val="en-US"/>
        </w:rPr>
        <w:t xml:space="preserve"> 2015</w:t>
      </w:r>
    </w:p>
  </w:endnote>
  <w:endnote w:id="18">
    <w:p w14:paraId="0000001F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Bangalore S, </w:t>
      </w:r>
      <w:proofErr w:type="spellStart"/>
      <w:r w:rsidRPr="00E87E7A">
        <w:rPr>
          <w:sz w:val="20"/>
          <w:szCs w:val="20"/>
          <w:lang w:val="en-US"/>
        </w:rPr>
        <w:t>Steg</w:t>
      </w:r>
      <w:proofErr w:type="spellEnd"/>
      <w:r w:rsidRPr="00E87E7A">
        <w:rPr>
          <w:sz w:val="20"/>
          <w:szCs w:val="20"/>
          <w:lang w:val="en-US"/>
        </w:rPr>
        <w:t xml:space="preserve"> G, </w:t>
      </w:r>
      <w:proofErr w:type="spellStart"/>
      <w:r w:rsidRPr="00E87E7A">
        <w:rPr>
          <w:sz w:val="20"/>
          <w:szCs w:val="20"/>
          <w:lang w:val="en-US"/>
        </w:rPr>
        <w:t>Deedwania</w:t>
      </w:r>
      <w:proofErr w:type="spellEnd"/>
      <w:r w:rsidRPr="00E87E7A">
        <w:rPr>
          <w:sz w:val="20"/>
          <w:szCs w:val="20"/>
          <w:lang w:val="en-US"/>
        </w:rPr>
        <w:t xml:space="preserve"> P, Crowley K, Eagle KA, </w:t>
      </w:r>
      <w:proofErr w:type="spellStart"/>
      <w:r w:rsidRPr="00E87E7A">
        <w:rPr>
          <w:sz w:val="20"/>
          <w:szCs w:val="20"/>
          <w:lang w:val="en-US"/>
        </w:rPr>
        <w:t>Goto</w:t>
      </w:r>
      <w:proofErr w:type="spellEnd"/>
      <w:r w:rsidRPr="00E87E7A">
        <w:rPr>
          <w:sz w:val="20"/>
          <w:szCs w:val="20"/>
          <w:lang w:val="en-US"/>
        </w:rPr>
        <w:t xml:space="preserve"> S, </w:t>
      </w:r>
      <w:proofErr w:type="spellStart"/>
      <w:r w:rsidRPr="00E87E7A">
        <w:rPr>
          <w:sz w:val="20"/>
          <w:szCs w:val="20"/>
          <w:lang w:val="en-US"/>
        </w:rPr>
        <w:t>Ohman</w:t>
      </w:r>
      <w:proofErr w:type="spellEnd"/>
      <w:r w:rsidRPr="00E87E7A">
        <w:rPr>
          <w:sz w:val="20"/>
          <w:szCs w:val="20"/>
          <w:lang w:val="en-US"/>
        </w:rPr>
        <w:t xml:space="preserve"> EM, Cannon CP, Smith SC, </w:t>
      </w:r>
      <w:proofErr w:type="spellStart"/>
      <w:r w:rsidRPr="00E87E7A">
        <w:rPr>
          <w:sz w:val="20"/>
          <w:szCs w:val="20"/>
          <w:lang w:val="en-US"/>
        </w:rPr>
        <w:t>Zeymer</w:t>
      </w:r>
      <w:proofErr w:type="spellEnd"/>
      <w:r w:rsidRPr="00E87E7A">
        <w:rPr>
          <w:sz w:val="20"/>
          <w:szCs w:val="20"/>
          <w:lang w:val="en-US"/>
        </w:rPr>
        <w:t xml:space="preserve"> U, Hoffman EB, </w:t>
      </w:r>
      <w:proofErr w:type="spellStart"/>
      <w:r w:rsidRPr="00E87E7A">
        <w:rPr>
          <w:sz w:val="20"/>
          <w:szCs w:val="20"/>
          <w:lang w:val="en-US"/>
        </w:rPr>
        <w:t>Messerli</w:t>
      </w:r>
      <w:proofErr w:type="spellEnd"/>
      <w:r w:rsidRPr="00E87E7A">
        <w:rPr>
          <w:sz w:val="20"/>
          <w:szCs w:val="20"/>
          <w:lang w:val="en-US"/>
        </w:rPr>
        <w:t xml:space="preserve"> FH, Bhatt DL, REACH Registry Investigators. </w:t>
      </w:r>
      <w:proofErr w:type="gramStart"/>
      <w:r w:rsidRPr="00E87E7A">
        <w:rPr>
          <w:sz w:val="20"/>
          <w:szCs w:val="20"/>
          <w:lang w:val="en-US"/>
        </w:rPr>
        <w:t>Beta-blocker use and clinical outcomes in stable outpatients with and without coronary artery disease.</w:t>
      </w:r>
      <w:proofErr w:type="gramEnd"/>
      <w:r w:rsidRPr="00E87E7A">
        <w:rPr>
          <w:sz w:val="20"/>
          <w:szCs w:val="20"/>
          <w:lang w:val="en-US"/>
        </w:rPr>
        <w:t xml:space="preserve"> JAMA 2012</w:t>
      </w:r>
    </w:p>
  </w:endnote>
  <w:endnote w:id="19">
    <w:p w14:paraId="00000020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SPRINT Research Group, Wright JT, </w:t>
      </w:r>
      <w:proofErr w:type="spellStart"/>
      <w:r w:rsidRPr="00E87E7A">
        <w:rPr>
          <w:sz w:val="20"/>
          <w:szCs w:val="20"/>
          <w:lang w:val="en-US"/>
        </w:rPr>
        <w:t>Jr</w:t>
      </w:r>
      <w:proofErr w:type="spellEnd"/>
      <w:r w:rsidRPr="00E87E7A">
        <w:rPr>
          <w:sz w:val="20"/>
          <w:szCs w:val="20"/>
          <w:lang w:val="en-US"/>
        </w:rPr>
        <w:t xml:space="preserve">, Williamson JD, </w:t>
      </w:r>
      <w:proofErr w:type="spellStart"/>
      <w:r w:rsidRPr="00E87E7A">
        <w:rPr>
          <w:sz w:val="20"/>
          <w:szCs w:val="20"/>
          <w:lang w:val="en-US"/>
        </w:rPr>
        <w:t>Whelton</w:t>
      </w:r>
      <w:proofErr w:type="spellEnd"/>
      <w:r w:rsidRPr="00E87E7A">
        <w:rPr>
          <w:sz w:val="20"/>
          <w:szCs w:val="20"/>
          <w:lang w:val="en-US"/>
        </w:rPr>
        <w:t xml:space="preserve"> PK, Snyder JK, Sink KM, Rocco MV, </w:t>
      </w:r>
      <w:proofErr w:type="spellStart"/>
      <w:r w:rsidRPr="00E87E7A">
        <w:rPr>
          <w:sz w:val="20"/>
          <w:szCs w:val="20"/>
          <w:lang w:val="en-US"/>
        </w:rPr>
        <w:t>Reboussin</w:t>
      </w:r>
      <w:proofErr w:type="spellEnd"/>
      <w:r w:rsidRPr="00E87E7A">
        <w:rPr>
          <w:sz w:val="20"/>
          <w:szCs w:val="20"/>
          <w:lang w:val="en-US"/>
        </w:rPr>
        <w:t xml:space="preserve"> DM, </w:t>
      </w:r>
      <w:proofErr w:type="spellStart"/>
      <w:r w:rsidRPr="00E87E7A">
        <w:rPr>
          <w:sz w:val="20"/>
          <w:szCs w:val="20"/>
          <w:lang w:val="en-US"/>
        </w:rPr>
        <w:t>Rahman</w:t>
      </w:r>
      <w:proofErr w:type="spellEnd"/>
      <w:r w:rsidRPr="00E87E7A">
        <w:rPr>
          <w:sz w:val="20"/>
          <w:szCs w:val="20"/>
          <w:lang w:val="en-US"/>
        </w:rPr>
        <w:t xml:space="preserve"> M, </w:t>
      </w:r>
      <w:proofErr w:type="spellStart"/>
      <w:r w:rsidRPr="00E87E7A">
        <w:rPr>
          <w:sz w:val="20"/>
          <w:szCs w:val="20"/>
          <w:lang w:val="en-US"/>
        </w:rPr>
        <w:t>Oparil</w:t>
      </w:r>
      <w:proofErr w:type="spellEnd"/>
      <w:r w:rsidRPr="00E87E7A">
        <w:rPr>
          <w:sz w:val="20"/>
          <w:szCs w:val="20"/>
          <w:lang w:val="en-US"/>
        </w:rPr>
        <w:t xml:space="preserve"> S, Lewis CE, Kimmel PL, Johnson KC, Goff DC, </w:t>
      </w:r>
      <w:proofErr w:type="spellStart"/>
      <w:r w:rsidRPr="00E87E7A">
        <w:rPr>
          <w:sz w:val="20"/>
          <w:szCs w:val="20"/>
          <w:lang w:val="en-US"/>
        </w:rPr>
        <w:t>Jr</w:t>
      </w:r>
      <w:proofErr w:type="spellEnd"/>
      <w:r w:rsidRPr="00E87E7A">
        <w:rPr>
          <w:sz w:val="20"/>
          <w:szCs w:val="20"/>
          <w:lang w:val="en-US"/>
        </w:rPr>
        <w:t xml:space="preserve">, Fine LJ, Cutler JA, Cushman WC, Cheung AK, </w:t>
      </w:r>
      <w:proofErr w:type="spellStart"/>
      <w:r w:rsidRPr="00E87E7A">
        <w:rPr>
          <w:sz w:val="20"/>
          <w:szCs w:val="20"/>
          <w:lang w:val="en-US"/>
        </w:rPr>
        <w:t>Ambrosius</w:t>
      </w:r>
      <w:proofErr w:type="spellEnd"/>
      <w:r w:rsidRPr="00E87E7A">
        <w:rPr>
          <w:sz w:val="20"/>
          <w:szCs w:val="20"/>
          <w:lang w:val="en-US"/>
        </w:rPr>
        <w:t xml:space="preserve"> WT. </w:t>
      </w:r>
      <w:proofErr w:type="gramStart"/>
      <w:r w:rsidRPr="00E87E7A">
        <w:rPr>
          <w:sz w:val="20"/>
          <w:szCs w:val="20"/>
          <w:lang w:val="en-US"/>
        </w:rPr>
        <w:t>A randomized trial of intensive versus standard blood-pressure control.</w:t>
      </w:r>
      <w:proofErr w:type="gramEnd"/>
      <w:r w:rsidRPr="00E87E7A">
        <w:rPr>
          <w:sz w:val="20"/>
          <w:szCs w:val="20"/>
          <w:lang w:val="en-US"/>
        </w:rPr>
        <w:t xml:space="preserve"> N </w:t>
      </w:r>
      <w:proofErr w:type="spellStart"/>
      <w:r w:rsidRPr="00E87E7A">
        <w:rPr>
          <w:sz w:val="20"/>
          <w:szCs w:val="20"/>
          <w:lang w:val="en-US"/>
        </w:rPr>
        <w:t>Engl</w:t>
      </w:r>
      <w:proofErr w:type="spellEnd"/>
      <w:r w:rsidRPr="00E87E7A">
        <w:rPr>
          <w:sz w:val="20"/>
          <w:szCs w:val="20"/>
          <w:lang w:val="en-US"/>
        </w:rPr>
        <w:t xml:space="preserve"> J Med 2015</w:t>
      </w:r>
    </w:p>
  </w:endnote>
  <w:endnote w:id="20">
    <w:p w14:paraId="00000021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Agewall</w:t>
      </w:r>
      <w:proofErr w:type="spellEnd"/>
      <w:r w:rsidRPr="00E87E7A">
        <w:rPr>
          <w:sz w:val="20"/>
          <w:szCs w:val="20"/>
          <w:lang w:val="en-US"/>
        </w:rPr>
        <w:t xml:space="preserve"> S, </w:t>
      </w:r>
      <w:proofErr w:type="spellStart"/>
      <w:r w:rsidRPr="00E87E7A">
        <w:rPr>
          <w:sz w:val="20"/>
          <w:szCs w:val="20"/>
          <w:lang w:val="en-US"/>
        </w:rPr>
        <w:t>Cattaneo</w:t>
      </w:r>
      <w:proofErr w:type="spellEnd"/>
      <w:r w:rsidRPr="00E87E7A">
        <w:rPr>
          <w:sz w:val="20"/>
          <w:szCs w:val="20"/>
          <w:lang w:val="en-US"/>
        </w:rPr>
        <w:t xml:space="preserve"> M, Collet JP, </w:t>
      </w:r>
      <w:proofErr w:type="spellStart"/>
      <w:r w:rsidRPr="00E87E7A">
        <w:rPr>
          <w:sz w:val="20"/>
          <w:szCs w:val="20"/>
          <w:lang w:val="en-US"/>
        </w:rPr>
        <w:t>Andreotti</w:t>
      </w:r>
      <w:proofErr w:type="spellEnd"/>
      <w:r w:rsidRPr="00E87E7A">
        <w:rPr>
          <w:sz w:val="20"/>
          <w:szCs w:val="20"/>
          <w:lang w:val="en-US"/>
        </w:rPr>
        <w:t xml:space="preserve"> F, Lip GY, </w:t>
      </w:r>
      <w:proofErr w:type="spellStart"/>
      <w:r w:rsidRPr="00E87E7A">
        <w:rPr>
          <w:sz w:val="20"/>
          <w:szCs w:val="20"/>
          <w:lang w:val="en-US"/>
        </w:rPr>
        <w:t>Verheugt</w:t>
      </w:r>
      <w:proofErr w:type="spellEnd"/>
      <w:r w:rsidRPr="00E87E7A">
        <w:rPr>
          <w:sz w:val="20"/>
          <w:szCs w:val="20"/>
          <w:lang w:val="en-US"/>
        </w:rPr>
        <w:t xml:space="preserve"> FW, Huber K, Grove EL, </w:t>
      </w:r>
      <w:proofErr w:type="spellStart"/>
      <w:r w:rsidRPr="00E87E7A">
        <w:rPr>
          <w:sz w:val="20"/>
          <w:szCs w:val="20"/>
          <w:lang w:val="en-US"/>
        </w:rPr>
        <w:t>Morais</w:t>
      </w:r>
      <w:proofErr w:type="spellEnd"/>
      <w:r w:rsidRPr="00E87E7A">
        <w:rPr>
          <w:sz w:val="20"/>
          <w:szCs w:val="20"/>
          <w:lang w:val="en-US"/>
        </w:rPr>
        <w:t xml:space="preserve"> J, Husted S, </w:t>
      </w:r>
      <w:proofErr w:type="spellStart"/>
      <w:r w:rsidRPr="00E87E7A">
        <w:rPr>
          <w:sz w:val="20"/>
          <w:szCs w:val="20"/>
          <w:lang w:val="en-US"/>
        </w:rPr>
        <w:t>Wassmann</w:t>
      </w:r>
      <w:proofErr w:type="spellEnd"/>
      <w:r w:rsidRPr="00E87E7A">
        <w:rPr>
          <w:sz w:val="20"/>
          <w:szCs w:val="20"/>
          <w:lang w:val="en-US"/>
        </w:rPr>
        <w:t xml:space="preserve"> S, </w:t>
      </w:r>
      <w:proofErr w:type="spellStart"/>
      <w:r w:rsidRPr="00E87E7A">
        <w:rPr>
          <w:sz w:val="20"/>
          <w:szCs w:val="20"/>
          <w:lang w:val="en-US"/>
        </w:rPr>
        <w:t>Rosano</w:t>
      </w:r>
      <w:proofErr w:type="spellEnd"/>
      <w:r w:rsidRPr="00E87E7A">
        <w:rPr>
          <w:sz w:val="20"/>
          <w:szCs w:val="20"/>
          <w:lang w:val="en-US"/>
        </w:rPr>
        <w:t xml:space="preserve"> G, </w:t>
      </w:r>
      <w:proofErr w:type="spellStart"/>
      <w:r w:rsidRPr="00E87E7A">
        <w:rPr>
          <w:sz w:val="20"/>
          <w:szCs w:val="20"/>
          <w:lang w:val="en-US"/>
        </w:rPr>
        <w:t>Atar</w:t>
      </w:r>
      <w:proofErr w:type="spellEnd"/>
      <w:r w:rsidRPr="00E87E7A">
        <w:rPr>
          <w:sz w:val="20"/>
          <w:szCs w:val="20"/>
          <w:lang w:val="en-US"/>
        </w:rPr>
        <w:t xml:space="preserve"> D, </w:t>
      </w:r>
      <w:proofErr w:type="spellStart"/>
      <w:r w:rsidRPr="00E87E7A">
        <w:rPr>
          <w:sz w:val="20"/>
          <w:szCs w:val="20"/>
          <w:lang w:val="en-US"/>
        </w:rPr>
        <w:t>Pathak</w:t>
      </w:r>
      <w:proofErr w:type="spellEnd"/>
      <w:r w:rsidRPr="00E87E7A">
        <w:rPr>
          <w:sz w:val="20"/>
          <w:szCs w:val="20"/>
          <w:lang w:val="en-US"/>
        </w:rPr>
        <w:t xml:space="preserve"> A, </w:t>
      </w:r>
      <w:proofErr w:type="spellStart"/>
      <w:r w:rsidRPr="00E87E7A">
        <w:rPr>
          <w:sz w:val="20"/>
          <w:szCs w:val="20"/>
          <w:lang w:val="en-US"/>
        </w:rPr>
        <w:t>Kjeldsen</w:t>
      </w:r>
      <w:proofErr w:type="spellEnd"/>
      <w:r w:rsidRPr="00E87E7A">
        <w:rPr>
          <w:sz w:val="20"/>
          <w:szCs w:val="20"/>
          <w:lang w:val="en-US"/>
        </w:rPr>
        <w:t xml:space="preserve"> K, </w:t>
      </w:r>
      <w:proofErr w:type="spellStart"/>
      <w:r w:rsidRPr="00E87E7A">
        <w:rPr>
          <w:sz w:val="20"/>
          <w:szCs w:val="20"/>
          <w:lang w:val="en-US"/>
        </w:rPr>
        <w:t>Storey</w:t>
      </w:r>
      <w:proofErr w:type="spellEnd"/>
      <w:r w:rsidRPr="00E87E7A">
        <w:rPr>
          <w:sz w:val="20"/>
          <w:szCs w:val="20"/>
          <w:lang w:val="en-US"/>
        </w:rPr>
        <w:t xml:space="preserve"> RF, ESC Working Group on Cardiovascular Pharmacology and Drug Therapy and ESC Working Group on Thrombosis. </w:t>
      </w:r>
      <w:proofErr w:type="gramStart"/>
      <w:r w:rsidRPr="00E87E7A">
        <w:rPr>
          <w:sz w:val="20"/>
          <w:szCs w:val="20"/>
          <w:lang w:val="en-US"/>
        </w:rPr>
        <w:t>Expert position paper on the use of proton pump inhibitors in patients with cardiovascular disease and antithrombotic therapy.</w:t>
      </w:r>
      <w:proofErr w:type="gramEnd"/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Eur</w:t>
      </w:r>
      <w:proofErr w:type="spellEnd"/>
      <w:r w:rsidRPr="00E87E7A">
        <w:rPr>
          <w:sz w:val="20"/>
          <w:szCs w:val="20"/>
          <w:lang w:val="en-US"/>
        </w:rPr>
        <w:t xml:space="preserve"> Heart J 2011</w:t>
      </w:r>
    </w:p>
  </w:endnote>
  <w:endnote w:id="21">
    <w:p w14:paraId="00000022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2017 ESC Guidelines for the management of acute myocardial infarction in patients presenting with ST-segment elevation</w:t>
      </w:r>
    </w:p>
  </w:endnote>
  <w:endnote w:id="22">
    <w:p w14:paraId="00000023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E87E7A">
        <w:rPr>
          <w:sz w:val="20"/>
          <w:szCs w:val="20"/>
          <w:lang w:val="en-US"/>
        </w:rPr>
        <w:t>Wallentin</w:t>
      </w:r>
      <w:proofErr w:type="spellEnd"/>
      <w:r w:rsidRPr="00E87E7A">
        <w:rPr>
          <w:sz w:val="20"/>
          <w:szCs w:val="20"/>
          <w:lang w:val="en-US"/>
        </w:rPr>
        <w:t xml:space="preserve"> L, Becker RC, </w:t>
      </w:r>
      <w:proofErr w:type="spellStart"/>
      <w:r w:rsidRPr="00E87E7A">
        <w:rPr>
          <w:sz w:val="20"/>
          <w:szCs w:val="20"/>
          <w:lang w:val="en-US"/>
        </w:rPr>
        <w:t>Budaj</w:t>
      </w:r>
      <w:proofErr w:type="spellEnd"/>
      <w:r w:rsidRPr="00E87E7A">
        <w:rPr>
          <w:sz w:val="20"/>
          <w:szCs w:val="20"/>
          <w:lang w:val="en-US"/>
        </w:rPr>
        <w:t xml:space="preserve"> A et al. </w:t>
      </w:r>
      <w:proofErr w:type="spellStart"/>
      <w:r w:rsidRPr="00E87E7A">
        <w:rPr>
          <w:sz w:val="20"/>
          <w:szCs w:val="20"/>
          <w:lang w:val="en-US"/>
        </w:rPr>
        <w:t>Ticagrelor</w:t>
      </w:r>
      <w:proofErr w:type="spellEnd"/>
      <w:r w:rsidRPr="00E87E7A">
        <w:rPr>
          <w:sz w:val="20"/>
          <w:szCs w:val="20"/>
          <w:lang w:val="en-US"/>
        </w:rPr>
        <w:t xml:space="preserve"> versus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in patients with acute coronary syndromes.</w:t>
      </w:r>
      <w:proofErr w:type="gramEnd"/>
      <w:r w:rsidRPr="00E87E7A">
        <w:rPr>
          <w:sz w:val="20"/>
          <w:szCs w:val="20"/>
          <w:lang w:val="en-US"/>
        </w:rPr>
        <w:t xml:space="preserve"> N </w:t>
      </w:r>
      <w:proofErr w:type="spellStart"/>
      <w:r w:rsidRPr="00E87E7A">
        <w:rPr>
          <w:sz w:val="20"/>
          <w:szCs w:val="20"/>
          <w:lang w:val="en-US"/>
        </w:rPr>
        <w:t>Engl</w:t>
      </w:r>
      <w:proofErr w:type="spellEnd"/>
      <w:r w:rsidRPr="00E87E7A">
        <w:rPr>
          <w:sz w:val="20"/>
          <w:szCs w:val="20"/>
          <w:lang w:val="en-US"/>
        </w:rPr>
        <w:t xml:space="preserve"> J Med 2009</w:t>
      </w:r>
    </w:p>
  </w:endnote>
  <w:endnote w:id="23">
    <w:p w14:paraId="00000024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Roe MT, Armstrong PW, Fox KAA, et al. </w:t>
      </w:r>
      <w:proofErr w:type="spellStart"/>
      <w:r w:rsidRPr="00E87E7A">
        <w:rPr>
          <w:sz w:val="20"/>
          <w:szCs w:val="20"/>
          <w:lang w:val="en-US"/>
        </w:rPr>
        <w:t>Prasugrel</w:t>
      </w:r>
      <w:proofErr w:type="spellEnd"/>
      <w:r w:rsidRPr="00E87E7A">
        <w:rPr>
          <w:sz w:val="20"/>
          <w:szCs w:val="20"/>
          <w:lang w:val="en-US"/>
        </w:rPr>
        <w:t xml:space="preserve"> versus 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for acute coronary syndromes without revascularization</w:t>
      </w:r>
    </w:p>
  </w:endnote>
  <w:endnote w:id="24">
    <w:p w14:paraId="00000025" w14:textId="77777777" w:rsidR="00E87E7A" w:rsidRPr="00E87E7A" w:rsidRDefault="00E87E7A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</w:t>
      </w:r>
      <w:proofErr w:type="spellStart"/>
      <w:r w:rsidRPr="00E87E7A">
        <w:rPr>
          <w:sz w:val="20"/>
          <w:szCs w:val="20"/>
          <w:lang w:val="en-US"/>
        </w:rPr>
        <w:t>Deharo</w:t>
      </w:r>
      <w:proofErr w:type="spellEnd"/>
      <w:r w:rsidRPr="00E87E7A">
        <w:rPr>
          <w:sz w:val="20"/>
          <w:szCs w:val="20"/>
          <w:lang w:val="en-US"/>
        </w:rPr>
        <w:t xml:space="preserve"> P, </w:t>
      </w:r>
      <w:proofErr w:type="spellStart"/>
      <w:r w:rsidRPr="00E87E7A">
        <w:rPr>
          <w:sz w:val="20"/>
          <w:szCs w:val="20"/>
          <w:lang w:val="en-US"/>
        </w:rPr>
        <w:t>Quilici</w:t>
      </w:r>
      <w:proofErr w:type="spellEnd"/>
      <w:r w:rsidRPr="00E87E7A">
        <w:rPr>
          <w:sz w:val="20"/>
          <w:szCs w:val="20"/>
          <w:lang w:val="en-US"/>
        </w:rPr>
        <w:t xml:space="preserve"> J, Bonnet G, et al. Fixed-dose aspirin-</w:t>
      </w:r>
      <w:proofErr w:type="spellStart"/>
      <w:r w:rsidRPr="00E87E7A">
        <w:rPr>
          <w:sz w:val="20"/>
          <w:szCs w:val="20"/>
          <w:lang w:val="en-US"/>
        </w:rPr>
        <w:t>clopidogrel</w:t>
      </w:r>
      <w:proofErr w:type="spellEnd"/>
      <w:r w:rsidRPr="00E87E7A">
        <w:rPr>
          <w:sz w:val="20"/>
          <w:szCs w:val="20"/>
          <w:lang w:val="en-US"/>
        </w:rPr>
        <w:t xml:space="preserve"> combination enhances compliance to aspirin after acute coronary syndrome. </w:t>
      </w:r>
      <w:proofErr w:type="spellStart"/>
      <w:r w:rsidRPr="00E87E7A">
        <w:rPr>
          <w:sz w:val="20"/>
          <w:szCs w:val="20"/>
          <w:lang w:val="en-US"/>
        </w:rPr>
        <w:t>Int</w:t>
      </w:r>
      <w:proofErr w:type="spellEnd"/>
      <w:r w:rsidRPr="00E87E7A">
        <w:rPr>
          <w:sz w:val="20"/>
          <w:szCs w:val="20"/>
          <w:lang w:val="en-US"/>
        </w:rPr>
        <w:t xml:space="preserve"> J </w:t>
      </w:r>
      <w:proofErr w:type="spellStart"/>
      <w:r w:rsidRPr="00E87E7A">
        <w:rPr>
          <w:sz w:val="20"/>
          <w:szCs w:val="20"/>
          <w:lang w:val="en-US"/>
        </w:rPr>
        <w:t>Cardiol</w:t>
      </w:r>
      <w:proofErr w:type="spellEnd"/>
      <w:r w:rsidRPr="00E87E7A">
        <w:rPr>
          <w:sz w:val="20"/>
          <w:szCs w:val="20"/>
          <w:lang w:val="en-US"/>
        </w:rPr>
        <w:t xml:space="preserve"> 2014</w:t>
      </w:r>
    </w:p>
  </w:endnote>
  <w:endnote w:id="25">
    <w:p w14:paraId="00000026" w14:textId="77777777" w:rsidR="00E87E7A" w:rsidRDefault="00E87E7A">
      <w:pPr>
        <w:spacing w:line="240" w:lineRule="auto"/>
        <w:rPr>
          <w:sz w:val="20"/>
          <w:szCs w:val="20"/>
        </w:rPr>
      </w:pPr>
      <w:r>
        <w:rPr>
          <w:vertAlign w:val="superscript"/>
        </w:rPr>
        <w:endnoteRef/>
      </w:r>
      <w:r w:rsidRPr="00E87E7A">
        <w:rPr>
          <w:sz w:val="20"/>
          <w:szCs w:val="20"/>
          <w:lang w:val="en-US"/>
        </w:rPr>
        <w:t xml:space="preserve"> Anderson L, </w:t>
      </w:r>
      <w:proofErr w:type="spellStart"/>
      <w:r w:rsidRPr="00E87E7A">
        <w:rPr>
          <w:sz w:val="20"/>
          <w:szCs w:val="20"/>
          <w:lang w:val="en-US"/>
        </w:rPr>
        <w:t>Oldridge</w:t>
      </w:r>
      <w:proofErr w:type="spellEnd"/>
      <w:r w:rsidRPr="00E87E7A">
        <w:rPr>
          <w:sz w:val="20"/>
          <w:szCs w:val="20"/>
          <w:lang w:val="en-US"/>
        </w:rPr>
        <w:t xml:space="preserve"> N, Thompson DR, </w:t>
      </w:r>
      <w:proofErr w:type="spellStart"/>
      <w:r w:rsidRPr="00E87E7A">
        <w:rPr>
          <w:sz w:val="20"/>
          <w:szCs w:val="20"/>
          <w:lang w:val="en-US"/>
        </w:rPr>
        <w:t>Zwisler</w:t>
      </w:r>
      <w:proofErr w:type="spellEnd"/>
      <w:r w:rsidRPr="00E87E7A">
        <w:rPr>
          <w:sz w:val="20"/>
          <w:szCs w:val="20"/>
          <w:lang w:val="en-US"/>
        </w:rPr>
        <w:t xml:space="preserve"> AD, Rees K, Martin N, Taylor RS. Exercise-based cardiac rehabilitation for coronary heart disease: Cochrane systematic review and meta-analysis. </w:t>
      </w:r>
      <w:r>
        <w:rPr>
          <w:sz w:val="20"/>
          <w:szCs w:val="20"/>
        </w:rPr>
        <w:t xml:space="preserve">J 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Cardiol</w:t>
      </w:r>
      <w:proofErr w:type="spellEnd"/>
      <w:r>
        <w:rPr>
          <w:sz w:val="20"/>
          <w:szCs w:val="20"/>
        </w:rPr>
        <w:t xml:space="preserve"> 2016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B3B3D" w14:textId="77777777" w:rsidR="005A15B6" w:rsidRDefault="005A15B6">
      <w:pPr>
        <w:spacing w:line="240" w:lineRule="auto"/>
      </w:pPr>
      <w:r>
        <w:separator/>
      </w:r>
    </w:p>
  </w:footnote>
  <w:footnote w:type="continuationSeparator" w:id="0">
    <w:p w14:paraId="3CF051C9" w14:textId="77777777" w:rsidR="005A15B6" w:rsidRDefault="005A1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BD02C2" w:rsidRDefault="00BD02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-851"/>
      <w:rPr>
        <w:color w:val="000000"/>
      </w:rPr>
    </w:pPr>
  </w:p>
  <w:p w14:paraId="00000028" w14:textId="77777777" w:rsidR="00BD02C2" w:rsidRDefault="00BD02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-851"/>
      <w:rPr>
        <w:color w:val="000000"/>
      </w:rPr>
    </w:pPr>
  </w:p>
  <w:p w14:paraId="00000029" w14:textId="77777777" w:rsidR="00BD02C2" w:rsidRDefault="00BD02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-851"/>
      <w:rPr>
        <w:color w:val="000000"/>
      </w:rPr>
    </w:pPr>
  </w:p>
  <w:p w14:paraId="0000002A" w14:textId="77777777" w:rsidR="00BD02C2" w:rsidRDefault="00BD02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02C2"/>
    <w:rsid w:val="005A15B6"/>
    <w:rsid w:val="00BD02C2"/>
    <w:rsid w:val="00E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87E7A"/>
    <w:rPr>
      <w:i/>
      <w:iCs/>
      <w:color w:val="808080" w:themeColor="text1" w:themeTint="7F"/>
    </w:rPr>
  </w:style>
  <w:style w:type="paragraph" w:styleId="a6">
    <w:name w:val="endnote text"/>
    <w:basedOn w:val="a"/>
    <w:link w:val="a7"/>
    <w:uiPriority w:val="99"/>
    <w:semiHidden/>
    <w:unhideWhenUsed/>
    <w:rsid w:val="00E87E7A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7E7A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87E7A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87E7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87E7A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E87E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87E7A"/>
    <w:rPr>
      <w:i/>
      <w:iCs/>
      <w:color w:val="808080" w:themeColor="text1" w:themeTint="7F"/>
    </w:rPr>
  </w:style>
  <w:style w:type="paragraph" w:styleId="a6">
    <w:name w:val="endnote text"/>
    <w:basedOn w:val="a"/>
    <w:link w:val="a7"/>
    <w:uiPriority w:val="99"/>
    <w:semiHidden/>
    <w:unhideWhenUsed/>
    <w:rsid w:val="00E87E7A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7E7A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87E7A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87E7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87E7A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E87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2020-03-17T17:23:00Z</dcterms:created>
  <dcterms:modified xsi:type="dcterms:W3CDTF">2020-03-17T17:23:00Z</dcterms:modified>
</cp:coreProperties>
</file>