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ECC89A1" w:rsidR="00C367B0" w:rsidRPr="00EC6748" w:rsidRDefault="00AF1307" w:rsidP="007B0311">
      <w:pPr>
        <w:tabs>
          <w:tab w:val="left" w:pos="40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Обучение</w:t>
      </w:r>
      <w:r w:rsidRPr="00AF1307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языку</w:t>
      </w:r>
      <w:r w:rsidRPr="00AF1307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и</w:t>
      </w:r>
      <w:r w:rsidRPr="00AF1307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гендеру</w:t>
      </w:r>
      <w:r w:rsidR="007B0311" w:rsidRPr="00EC6748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ab/>
      </w:r>
    </w:p>
    <w:p w14:paraId="00000002" w14:textId="79824827" w:rsidR="00C367B0" w:rsidRPr="00AF1307" w:rsidRDefault="00AF1307" w:rsidP="007B031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Авторы</w:t>
      </w:r>
      <w:r w:rsidR="00EC6748"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: 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Джейн </w:t>
      </w:r>
      <w:proofErr w:type="spellStart"/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Сандерленд</w:t>
      </w:r>
      <w:proofErr w:type="spellEnd"/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Джоан </w:t>
      </w:r>
      <w:proofErr w:type="spellStart"/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Суонн</w:t>
      </w:r>
      <w:proofErr w:type="spellEnd"/>
    </w:p>
    <w:p w14:paraId="00000004" w14:textId="216E4560" w:rsidR="00C367B0" w:rsidRPr="00AF1307" w:rsidRDefault="00EC6748" w:rsidP="00AF130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© </w:t>
      </w:r>
      <w:r w:rsidR="00AF1307"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Джейн </w:t>
      </w:r>
      <w:proofErr w:type="spellStart"/>
      <w:r w:rsidR="00AF1307"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Сандерленд</w:t>
      </w:r>
      <w:proofErr w:type="spellEnd"/>
      <w:r w:rsidR="00AF1307"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Университет Ланкастера и Джоан </w:t>
      </w:r>
      <w:proofErr w:type="spellStart"/>
      <w:r w:rsidR="00AF1307"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Суонн</w:t>
      </w:r>
      <w:proofErr w:type="spellEnd"/>
      <w:r w:rsidR="00AF1307"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Открытый университет</w:t>
      </w:r>
    </w:p>
    <w:p w14:paraId="00000005" w14:textId="2FDB411D" w:rsidR="00C367B0" w:rsidRPr="00AF1307" w:rsidRDefault="00AF1307" w:rsidP="007B0311">
      <w:pPr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Аннотация</w:t>
      </w:r>
    </w:p>
    <w:p w14:paraId="00000006" w14:textId="718773EC" w:rsidR="00C367B0" w:rsidRPr="00AF1307" w:rsidRDefault="00AF1307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Взаимосвязь между языком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гендером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уже давно представляет интерес для социолингвистики и смежных дисциплин. После обзора истории предмета в статье обсуждается возможное содержание языковых и гендерных курсов, а также рассматриваются вопросы, которые могут возникнуть в обстановке классной комнаты.</w:t>
      </w:r>
    </w:p>
    <w:p w14:paraId="06975681" w14:textId="77777777" w:rsidR="007B0311" w:rsidRPr="00AF1307" w:rsidRDefault="007B0311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</w:p>
    <w:p w14:paraId="00000010" w14:textId="6C76A49D" w:rsidR="00C367B0" w:rsidRPr="00AF1307" w:rsidRDefault="00EC6748" w:rsidP="007B0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AF1307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1. </w:t>
      </w:r>
      <w:r w:rsidR="00AF1307" w:rsidRPr="00AF1307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Язык и </w:t>
      </w:r>
      <w:r w:rsidR="00AF1307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гендер</w:t>
      </w:r>
      <w:r w:rsidR="00AF1307" w:rsidRPr="00AF1307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 - краткая история</w:t>
      </w:r>
    </w:p>
    <w:p w14:paraId="5B5AD0A3" w14:textId="00665E30" w:rsidR="00AF1307" w:rsidRPr="00460230" w:rsidRDefault="00AF1307" w:rsidP="00AF1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Взаимосвязь между языком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гендером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уже давно представляет интерес для социолингвистики и смежных дисциплин. В исследованиях лингвистической антропологии начала 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XX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века изучались различия между речью женщин и мужчин на разных языках, во многих случаях выявлялись различные языковые формы для женщин и мужчин (хотя язык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не существовали в качестве отдельной области исследований).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Гендер также являлся социальной переменной в количественных исследованиях языковых вариаций, проводимых с 1960-х годов, и часто обнаруживается, что среди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одного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социального класса женщины, как правило, используют более стандартные или «престижные» языковые характеристики, а мужчины - более разговорный язык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(см. С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оциолингвистическая вариация</w:t>
      </w:r>
      <w:r w:rsid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r w:rsidR="00460230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Sociolinguistic Variation</w:t>
      </w:r>
      <w:r w:rsid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Однако аспекты интерпретации и методологии, принятой в вариационных исследованиях, подвергались критике со стороны некоторых исследователей языка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гендера</w:t>
      </w:r>
      <w:r w:rsidRPr="00AF130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(см. </w:t>
      </w:r>
      <w:r w:rsidR="00460230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discussion</w:t>
      </w:r>
      <w:r w:rsidR="00460230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460230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in</w:t>
      </w:r>
      <w:r w:rsidR="00460230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460230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Cameron</w:t>
      </w:r>
      <w:r w:rsidR="00460230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1992; </w:t>
      </w:r>
      <w:r w:rsidR="00460230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Coates</w:t>
      </w:r>
      <w:r w:rsidR="00460230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1986/2004; </w:t>
      </w:r>
      <w:proofErr w:type="spellStart"/>
      <w:r w:rsidR="00460230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Graddol</w:t>
      </w:r>
      <w:proofErr w:type="spellEnd"/>
      <w:r w:rsidR="00460230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460230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and</w:t>
      </w:r>
      <w:r w:rsidR="00460230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460230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Swann</w:t>
      </w:r>
      <w:r w:rsidR="00460230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1989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).</w:t>
      </w:r>
    </w:p>
    <w:p w14:paraId="00000013" w14:textId="0A1B9B7E" w:rsidR="00C367B0" w:rsidRPr="00460230" w:rsidRDefault="00460230" w:rsidP="0046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1970-х годах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растущ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ее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«западн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ое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» женск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ое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движение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вызвало большой 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интерес к языку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гендеру 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особенно со стороны 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 xml:space="preserve">исследователей-феминисток,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а также 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к возможности доминирования мужчин в разговорах смешанного пола (например, мужчины больше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прерывают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женщин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чаще чем наоборот)</w:t>
      </w:r>
      <w:r w:rsid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определени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ю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различных женских и мужских разговорных стилей (общепризнанным является то, что женщины склонны использовать более поддерживающие или кооперативные разговорные стили, а мужчины - более конкурентоспособные)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 к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сексизм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у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или </w:t>
      </w:r>
      <w:proofErr w:type="spellStart"/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сексистско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му</w:t>
      </w:r>
      <w:proofErr w:type="spellEnd"/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предрассудк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у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языке. Область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интереса</w:t>
      </w:r>
      <w:r w:rsidR="00AF1307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также характеризовалась различными позициями, которые ретроспективно назывались «дефицит», «(мужское) доминирование» и «(культурное) различие».</w:t>
      </w:r>
      <w:r w:rsidR="00EC6748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Исследования, связанные с положением о дефиците,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продемонстрировали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неполное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использование женщин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ами языка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(по сравнению с мужчинами)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 различных ситуациях;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благодаря 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доминирующе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му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положени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ю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мужчин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они </w:t>
      </w:r>
      <w:r w:rsidR="00D64DB2"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удел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яли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больше внимания различиям между женщинами и мужчинами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своей речи</w:t>
      </w:r>
      <w:r w:rsid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</w:t>
      </w:r>
      <w:bookmarkStart w:id="0" w:name="_GoBack"/>
      <w:bookmarkEnd w:id="0"/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из-за культурных различий использование языка женщинами и мужчинами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отличалось 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«культурно», но не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по степени своей 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неравномерно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сти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 Использование языка женщин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ами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мужчин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ами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также интерпретируется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со стороны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вежливости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Так,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женщины считаются более вежливыми с лингвистической точки зрения, чем мужчины. (Критическое описание этой работы см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отрите в</w:t>
      </w:r>
      <w:r w:rsidRPr="0046023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учебниках под заголовком «Учебная библиография». 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 частности, о вежливости см. Холмс (1995) и Миллс (2003)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en-GB"/>
        </w:rPr>
        <w:t xml:space="preserve">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(</w:t>
      </w:r>
      <w:proofErr w:type="spellStart"/>
      <w:r w:rsidR="00D64DB2"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Holmes</w:t>
      </w:r>
      <w:proofErr w:type="spellEnd"/>
      <w:r w:rsidR="00D64DB2"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(1995) 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en-GB"/>
        </w:rPr>
        <w:t>and</w:t>
      </w:r>
      <w:r w:rsidR="00D64DB2"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="00D64DB2"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Mills</w:t>
      </w:r>
      <w:proofErr w:type="spellEnd"/>
      <w:r w:rsidR="00D64DB2"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(2003)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 w:rsid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</w:p>
    <w:p w14:paraId="523C9663" w14:textId="7962390A" w:rsidR="00BA0F94" w:rsidRDefault="00D64DB2" w:rsidP="00BA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 последнее время, и особенно в исследованиях, проводимых с начала 1990-х годов, гендер в значительной степени был переосмыслен под влиянием современных теорий, связанных с постструктурализмом, таких как теория </w:t>
      </w:r>
      <w:proofErr w:type="spellStart"/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перформативности</w:t>
      </w:r>
      <w:proofErr w:type="spellEnd"/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Butler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1990/1999; 1993; 1997). Гендер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теперь 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рассматривается как менее «фиксированный» и унитарный феномен, при этом исследования подчеркивают или, по крайней мере, признают значительное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различие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между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женщин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ами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мужчин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ами,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изменяющиеся 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>отношения между по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лами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другими аспектами идентичности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а также 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важность контекста в определении того, как люди используют язы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к. 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С этой точки зрения, важно, что гендер рассматривается не столько как приоритетный атрибут, который влияет на использование языка, а </w:t>
      </w:r>
      <w:r w:rsidR="00BA0F94"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скорее,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как интерактивное достижение - то, что может быть выполнено (или согласовано и, возможно, оспорено) особым образом в разных контекстах. Особенно интересное понимание таких явлений пришло из недавних исследований языка и сексуальности. Исследова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тели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выявили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различ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ия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связанные с женственностью и мужественностью. 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Были 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обсужден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ы важные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методологически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е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вопрос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ы, 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например, какие подходы могут 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быть применены в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изучени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языка и 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гендера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(включая вариационную и интерактивную социолингвистику, лингвистическую этнографию, анализ разговора, анализ критического дискурса, дискурсивную психологию, феминистский постструктуралистский анализ дискурса и корпусную лингвистику). (Источники см. 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учебниках и отредактированных сборниках в разделе «Обучающая библиография»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r w:rsidR="00BA0F94" w:rsidRPr="00BA0F94">
        <w:t xml:space="preserve"> </w:t>
      </w:r>
      <w:proofErr w:type="spellStart"/>
      <w:r w:rsidR="00BA0F94"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Teaching</w:t>
      </w:r>
      <w:proofErr w:type="spellEnd"/>
      <w:r w:rsidR="00BA0F94"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="00BA0F94"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Bibliography</w:t>
      </w:r>
      <w:proofErr w:type="spellEnd"/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 w:rsidRPr="00D64D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 w:rsid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</w:p>
    <w:p w14:paraId="54C510F4" w14:textId="2D79D01B" w:rsidR="007B0311" w:rsidRPr="00BA0F94" w:rsidRDefault="00BA0F94" w:rsidP="00BA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 рамках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области «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языка и гендера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»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делался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акцент 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на «языке» и «гендере» как социальных явлениях, а также на социальном конструировании гендера и других аспектов идентичности в лингвистических и других практиках.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бсуждение когнитивных вопросов (таких как различия в словесных способностях) и потенциальных биологических объяснений человеческих способностей и поведения, включая лингвистическое поведение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– ограниченное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 Тем не менее, современный обзор этой области (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Cameron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2005)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демонстрирует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что исследователи языка и пола должны более серьезно и критически подходить к решению проблем, связанных с недавним возрождением «биологических» объяснений. (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Baron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-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Cohen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(2003), например, представляет сильную 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 xml:space="preserve">биологическую (эволюционную) перспективу; для более полного обзора половых различий в познании см. </w:t>
      </w:r>
      <w:r w:rsidRPr="00BA0F94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Halpern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(2000).)</w:t>
      </w:r>
    </w:p>
    <w:p w14:paraId="00000019" w14:textId="79E4E52F" w:rsidR="00C367B0" w:rsidRPr="007D3289" w:rsidRDefault="00EC6748" w:rsidP="007B0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2. </w:t>
      </w:r>
      <w:r w:rsid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Обучение</w:t>
      </w:r>
      <w:r w:rsidR="007D3289" w:rsidRP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языку</w:t>
      </w:r>
      <w:r w:rsidR="007D3289" w:rsidRP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и</w:t>
      </w:r>
      <w:r w:rsidR="007D3289" w:rsidRP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гендеру</w:t>
      </w:r>
      <w:r w:rsid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: введение</w:t>
      </w:r>
    </w:p>
    <w:p w14:paraId="0000001B" w14:textId="4D5D8D14" w:rsidR="00C367B0" w:rsidRPr="007D3289" w:rsidRDefault="007D3289" w:rsidP="007B03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 настоящее время обучение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язык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у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гендер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у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широко распространено, по крайней мере, в «западном» мире, будь то в форме последовательных модулей по теме или в виде сессий в таких модулях, как «Язык в обществе», «Язык и средства массовой информации», или в рамках неязыковых программ, таких как женские исследования. У языка и пола, однако, нет установленной учебной программы.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Изучение данного вопроса началось сравнительно недавно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кроме того,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исследования этой темы достаточно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быстро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развиваются.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ледовательно, то, что может быть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и уже 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вкл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ючено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языковые и гендерные программы, чрезвычайно разнообразно. Свидетельством тому является тот факт, что отредактированные сборники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на данную тему превышают по количеству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монографии. Далее мы рассмотрим общность и разнообразие языковых и гендерных программ по вопросам, связанным с преподаванием и обучением позиций при разработке языковых и гендерных модулей, включая выбор и </w:t>
      </w:r>
      <w:r w:rsidR="00C428C8"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упорядочение содержания учебных программ,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возможность включения языка и гендера в модули по другим аспектам лингвистики и изучения английского языка.</w:t>
      </w:r>
    </w:p>
    <w:p w14:paraId="0000001C" w14:textId="3E486FE0" w:rsidR="00C367B0" w:rsidRPr="007D3289" w:rsidRDefault="00EC6748" w:rsidP="007B0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3. </w:t>
      </w:r>
      <w:r w:rsidR="007D3289" w:rsidRPr="007D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Общность и разнообразие языковых и гендерных программ</w:t>
      </w:r>
    </w:p>
    <w:p w14:paraId="0000001E" w14:textId="6B959275" w:rsidR="00C367B0" w:rsidRPr="007D3289" w:rsidRDefault="007D3289" w:rsidP="007D32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Несмотря на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разнообразие и ширину данной тематики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хотелось бы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объединить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преподавание большинства языковых и гендерных модулей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по 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некоторы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общи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правилам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:</w:t>
      </w:r>
    </w:p>
    <w:p w14:paraId="0000001F" w14:textId="722165C7" w:rsidR="00C367B0" w:rsidRPr="007D3289" w:rsidRDefault="007D3289" w:rsidP="007B0311">
      <w:pPr>
        <w:pStyle w:val="a5"/>
        <w:numPr>
          <w:ilvl w:val="0"/>
          <w:numId w:val="1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баланс между прошлой и современной теорией (например, теория дефицита / доминирования / различия и </w:t>
      </w:r>
      <w:proofErr w:type="spellStart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перформативности</w:t>
      </w:r>
      <w:proofErr w:type="spellEnd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;</w:t>
      </w:r>
    </w:p>
    <w:p w14:paraId="00000020" w14:textId="6170B8E2" w:rsidR="00C367B0" w:rsidRPr="00EC6748" w:rsidRDefault="007D3289" w:rsidP="007B0311">
      <w:pPr>
        <w:pStyle w:val="a5"/>
        <w:numPr>
          <w:ilvl w:val="0"/>
          <w:numId w:val="1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</w:pP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междисциплинарность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;</w:t>
      </w:r>
    </w:p>
    <w:p w14:paraId="770B609C" w14:textId="644471B6" w:rsidR="007D3289" w:rsidRDefault="007D3289" w:rsidP="007B0311">
      <w:pPr>
        <w:pStyle w:val="a5"/>
        <w:numPr>
          <w:ilvl w:val="0"/>
          <w:numId w:val="1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>широко политическ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ое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часто «феминистск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ое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значение 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предмет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(как бы он ни был определен) и позиция преподавателя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по данному вопросу;</w:t>
      </w:r>
    </w:p>
    <w:p w14:paraId="2C17D5A9" w14:textId="77777777" w:rsidR="007D3289" w:rsidRPr="007D3289" w:rsidRDefault="007D3289" w:rsidP="007B0311">
      <w:pPr>
        <w:pStyle w:val="a5"/>
        <w:numPr>
          <w:ilvl w:val="0"/>
          <w:numId w:val="1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поощрение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личного опыта, позиций и критики студентов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;</w:t>
      </w:r>
    </w:p>
    <w:p w14:paraId="00000023" w14:textId="681EAD88" w:rsidR="00C367B0" w:rsidRPr="007D3289" w:rsidRDefault="007D3289" w:rsidP="007B0311">
      <w:pPr>
        <w:pStyle w:val="a5"/>
        <w:numPr>
          <w:ilvl w:val="0"/>
          <w:numId w:val="1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фокусирование 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на эмпирической работе (в том числе самих студентов)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</w:p>
    <w:p w14:paraId="1CDECB50" w14:textId="144CC9F8" w:rsidR="001F0487" w:rsidRPr="001F0487" w:rsidRDefault="007D3289" w:rsidP="001F04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днако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данные правила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будут сдерживаться и опосредоваться дисциплинарными и ведомственными различиями (а также индивидуальными отличиями лектора, уровнем, на котором преподают предмет, фактическими и предполагаемыми способностями и предпочтениями студента). Язык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преподаются не только в рамках (</w:t>
      </w:r>
      <w:proofErr w:type="spellStart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социо</w:t>
      </w:r>
      <w:proofErr w:type="spellEnd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) лингвистики и изучения английского языка или женских исследований, но также в рамках дисциплин (лингвистической) антропологии и (социальной) психологии - и их может быть больше. В качестве иллюстрации различных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изменений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которые могут быть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внесены в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модул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можно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сопоставить учебные планы, разработанные Пенелопой </w:t>
      </w:r>
      <w:proofErr w:type="spellStart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Эккерт</w:t>
      </w:r>
      <w:proofErr w:type="spellEnd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(2006/7) в </w:t>
      </w:r>
      <w:proofErr w:type="spellStart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Стэнфордском</w:t>
      </w:r>
      <w:proofErr w:type="spellEnd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университете и </w:t>
      </w:r>
      <w:proofErr w:type="spellStart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Нико</w:t>
      </w:r>
      <w:proofErr w:type="spellEnd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Безнье</w:t>
      </w:r>
      <w:proofErr w:type="spellEnd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(2005), в то время в 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UCLA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Университет Калифорния Лос-Анджелес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Программы </w:t>
      </w:r>
      <w:proofErr w:type="spellStart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Эккерта</w:t>
      </w:r>
      <w:proofErr w:type="spellEnd"/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Безье демонстрируют последовательные подходы к теоретическому развитию языка и 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гендера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включая 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раннюю</w:t>
      </w:r>
      <w:r w:rsidRPr="007D32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работу, основанную на идеях различий и доминирования, а также более позднюю </w:t>
      </w:r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работу, соглас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ованную</w:t>
      </w:r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с теорией </w:t>
      </w:r>
      <w:proofErr w:type="spellStart"/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перформативности</w:t>
      </w:r>
      <w:proofErr w:type="spellEnd"/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Оба 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исследования 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имеют сильную эмпирическую направленность и включают студенческую проектную работу. </w:t>
      </w:r>
      <w:proofErr w:type="spellStart"/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Экерт</w:t>
      </w:r>
      <w:proofErr w:type="spellEnd"/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занимается языком и гендером в контексте лингвистики: схема модуля включает в себя подробное и детальное исследование (</w:t>
      </w:r>
      <w:proofErr w:type="spellStart"/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социо</w:t>
      </w:r>
      <w:proofErr w:type="spellEnd"/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 лингвистического исследования высоты звука и голоса, граммати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ки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изменчивости диалекта и стилистической изменчивости, а также языка во взаимодействии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между полами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Работа 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Безье, с другой стороны, имеет сильную и явную 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>антропологическую направленность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 Он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отмеча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ет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что «пол стал одной из самых важных линз, через которые антропологи стремятся понять общество и культуру» (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Besnier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2005: «Цели курса»)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Похоже, что </w:t>
      </w:r>
      <w:proofErr w:type="spellStart"/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Безнье</w:t>
      </w:r>
      <w:proofErr w:type="spellEnd"/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больше внимания уделяет более широкому социокультурному и историческому контексту и взаимосвязи этнической, расовой и национальной идентичности. Он также рассматривает гендерные вопросы и грамотность, в то время как </w:t>
      </w:r>
      <w:proofErr w:type="spellStart"/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Экерт</w:t>
      </w:r>
      <w:proofErr w:type="spellEnd"/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уделяет основное внимание разговорной речи. На основе этих учебных программ, по крайней мере, оба модуля исследуют соответствующие аспекты языка и пола, но предмет в некоторой степени </w:t>
      </w:r>
      <w:r w:rsid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формируется</w:t>
      </w:r>
      <w:r w:rsidR="001F0487"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по-разному в каждом конкретном случае, отражая дисциплинарные аспекты.</w:t>
      </w:r>
    </w:p>
    <w:p w14:paraId="334B5369" w14:textId="0FAB05A8" w:rsidR="001F0487" w:rsidRPr="00827DD1" w:rsidRDefault="001F0487" w:rsidP="007B03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На двух веб-сайтах можно найти более широкий спектр языковых и гендерных программ, представляющих различные дисциплинарные контексты. Первая </w:t>
      </w:r>
      <w:proofErr w:type="gramStart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- это</w:t>
      </w:r>
      <w:proofErr w:type="gramEnd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ранняя коллекция, опубликованная Советом по положению женщин в лингвистике (</w:t>
      </w:r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COSWL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), и впоследствии обновленная Скоттом </w:t>
      </w:r>
      <w:proofErr w:type="spellStart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Кислингом</w:t>
      </w:r>
      <w:proofErr w:type="spellEnd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(1999). В основном это американские источники, и не все ссылки доступны. Аналогичн</w:t>
      </w:r>
      <w:r w:rsid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ая попытка 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по сбору учебных планов был</w:t>
      </w:r>
      <w:r w:rsid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предпринят</w:t>
      </w:r>
      <w:r w:rsid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Эми </w:t>
      </w:r>
      <w:proofErr w:type="spellStart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Шелдон</w:t>
      </w:r>
      <w:proofErr w:type="spellEnd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Барбарой </w:t>
      </w:r>
      <w:proofErr w:type="spellStart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ЛеМастер</w:t>
      </w:r>
      <w:proofErr w:type="spellEnd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www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  <w:proofErr w:type="spellStart"/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csulb</w:t>
      </w:r>
      <w:proofErr w:type="spellEnd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  <w:proofErr w:type="spellStart"/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edu</w:t>
      </w:r>
      <w:proofErr w:type="spellEnd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/~</w:t>
      </w:r>
      <w:proofErr w:type="spellStart"/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lemaster</w:t>
      </w:r>
      <w:proofErr w:type="spellEnd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/</w:t>
      </w:r>
      <w:proofErr w:type="spellStart"/>
      <w:r w:rsidRPr="001F0487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lgarchive</w:t>
      </w:r>
      <w:proofErr w:type="spellEnd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). Этот сайт включает в себя списки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для 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чтения и темы заданий.</w:t>
      </w:r>
    </w:p>
    <w:p w14:paraId="00000029" w14:textId="6872707A" w:rsidR="00C367B0" w:rsidRPr="00827DD1" w:rsidRDefault="00827DD1" w:rsidP="007B03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зличие 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 учебных планах и других учебных документах,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собранных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на этих сайтах, вероятно, неизбежно, учитывая дисциплинарные и другие различия, упомянутые выше. Также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могут быть некоторые 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расхождения между учебными планами в континентальной Европе и учебными планами в США. Различия отражают динамичность языка и пола как академической области, и любые попытки составить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общую для всех 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учебную программу могут показаться не только бесполезными, но и интеллектуально контрпродуктивными.</w:t>
      </w:r>
    </w:p>
    <w:p w14:paraId="0000002A" w14:textId="5CF7143C" w:rsidR="00C367B0" w:rsidRPr="00827DD1" w:rsidRDefault="00EC6748" w:rsidP="007B0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827DD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lastRenderedPageBreak/>
        <w:t xml:space="preserve">4. </w:t>
      </w:r>
      <w:r w:rsidR="00827DD1" w:rsidRPr="00827DD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Преподавание и изучение позиций</w:t>
      </w:r>
    </w:p>
    <w:p w14:paraId="5CFB11B2" w14:textId="540F014E" w:rsidR="007B0311" w:rsidRPr="00827DD1" w:rsidRDefault="00827DD1" w:rsidP="007B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Преподаватели языка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гендера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рассказывают о различном опыте работы со студентами учитывая природу предмета. То, что мы назвали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ранее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«позицией» - позиции, занимаемые учителями и учащимися, и то, как они соотносятся друг с другом в контексте преподавания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 Все это -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проблема преподавания любого предмета, но есть определенные вопросы, которые касаются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именно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преподавание языка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гендера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кадемический опыт и восприятие «языка и пола» учащихся, а также политика учителей и студентов (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по 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у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 могут повлиять на подходы к преподаванию и отношения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ми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между учителем и учениками.</w:t>
      </w:r>
    </w:p>
    <w:p w14:paraId="296B6852" w14:textId="4FF7F7E0" w:rsidR="00827DD1" w:rsidRPr="00827DD1" w:rsidRDefault="00827DD1" w:rsidP="008740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Во-первых, какие вопросы актуальны для молодых студентов? Это не означает привилегию непосредственного восприятия актуальности для студентов, но это означает, что, например, студенты могут быть отчуждены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от того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что они считают феминистскими темами, характерными для поколения их родителей. Многие молодые студенты не рассматривают сексизм как актуальную проблему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скорее, они рассматривают угнетение как прошлое,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уже 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решенную проблему. Классическим примером здесь, вероятно, является </w:t>
      </w:r>
      <w:proofErr w:type="spellStart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сексистский</w:t>
      </w:r>
      <w:proofErr w:type="spellEnd"/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(английский) язык (вместе со сменой языка и рекомендациями по инклюзивному языку). В то время как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люди возрастом от 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пят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десят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 лет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спорят об использовании обращения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«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Миссис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» (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M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en-GB"/>
        </w:rPr>
        <w:t>r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s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восемнадцатилетние и девятнадцатилетние дети не только гораздо чаще используют 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«Мисс» (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en-GB"/>
        </w:rPr>
        <w:t>Ms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ассоцииру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я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«Миссис»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с разводом, лесбиянством и ненавистью 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мужчина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но и рассматривать тему языкового сексизма как пассивную. (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 том случае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если они не просто равнодушны к этим дебатам и проблемам.) Поэтому имеет больше смысла 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преподавать язык с богатой историей в рамках отсутствия «сексуального значения»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(а не, скажем, фокусироваться на нынешних аргументы в пользу 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миссис</w:t>
      </w:r>
      <w:r w:rsidRPr="00827D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 w:rsid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</w:p>
    <w:p w14:paraId="64DD2912" w14:textId="4F6D1635" w:rsidR="00874001" w:rsidRPr="00874001" w:rsidRDefault="00874001" w:rsidP="007B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 xml:space="preserve">Во-вторых, по языковым и гендерным модулям демографическая ситуация в классах в учебных заведениях смешанного пола почти неизбежно смещается в сторону женского </w:t>
      </w:r>
      <w:proofErr w:type="gramStart"/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населения, несмотря на то, что</w:t>
      </w:r>
      <w:proofErr w:type="gramEnd"/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учителя настаивают на том, что «язык и пол» не означает «язык и женщины». Возможно, студенты-мужчины считают, что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«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язык и пол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»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не для них, даже если они будут чувствовать себя некомфортно, или, что еще хуже, будут чувствовать себя нежеланными. Среди студентов мужского пола столкнулись с очевидными мотивами сочувствия и «желания понять», а также мужественности («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чем все это? Могу ли я принять это?»). Конечно, после регистрации им обычно приходится иметь дело с принадлежностью к меньшинству в классе. В этом контексте учителям обычно нужно противостоять искушению спросить «что мужчина в группе думает о проблеме 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X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» и разработать стратегии для работы с ученицами, которые задают именно этот вопрос. На другом уровне ученики-мужчины могут фактически ограничивать то, что, по их мнению, учащиеся женского пола могут сказать (в случае, если их считают несправедливо обобщающими), и действительно то, что, по мнению учителя, она может сделать: использование мужских журналов «образа жизни» в качестве текстов для анализа может (правильно или неправильно) будет более приемлемым предложением, когда все ваши ученики - женщины. И наоборот, мужчин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ы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которые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будут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анализировать (скажем) 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GQ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(журнал для мужчин) 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 смешанной группе.</w:t>
      </w:r>
    </w:p>
    <w:p w14:paraId="40D1A09F" w14:textId="1D3DC5F9" w:rsidR="00874001" w:rsidRPr="00874001" w:rsidRDefault="00874001" w:rsidP="007B03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В-третьих, существует проблема «преподавания как феминистки» (или нет), феминизма в целом и, по сути, разъяснения собственн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ых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взглядов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 Хотя учитель, указывающий на феминистскую или другую приверженность, принимается и поощряется в женских исследованиях и в таких областях лингвистики, как анализ критического дискурса (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CDA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), это все же может стать шоком для учащихся. И хотя с 1970-х годов феминизм 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 xml:space="preserve">был ответственен за рост языкового и гендерного изучения, и на это необходимо указать и продемонстрировать, слово «феминизм» не только проблематично для молодых «западных» женщин (которые исторически </w:t>
      </w:r>
      <w:r w:rsid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жили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тот же самый </w:t>
      </w:r>
      <w:r w:rsid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период, когда повсеместно употреблялось слово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«Миссис»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), но также и многим женщинам третьего мира. Африканские студенты </w:t>
      </w:r>
      <w:r w:rsid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считают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что «феминизм» в разных африканских странах связан с сексуальной распущенностью, ненавистью к мужчинам, </w:t>
      </w:r>
      <w:proofErr w:type="spellStart"/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антисемейностью</w:t>
      </w:r>
      <w:proofErr w:type="spellEnd"/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</w:t>
      </w:r>
      <w:proofErr w:type="spellStart"/>
      <w:r w:rsid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анти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отцовством</w:t>
      </w:r>
      <w:proofErr w:type="spellEnd"/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(что не должно отрицать прогрессивного влияния четвертой Всемирной конференции о женщинах (Пекин, 1995)</w:t>
      </w:r>
      <w:r w:rsid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</w:t>
      </w:r>
      <w:r w:rsidRPr="0087400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о правах женщин и гендерных отношениях в некоторых африканских странах).</w:t>
      </w:r>
    </w:p>
    <w:p w14:paraId="31252C6D" w14:textId="2F0E909B" w:rsidR="008179C3" w:rsidRPr="008179C3" w:rsidRDefault="008179C3" w:rsidP="007B03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Четвертый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аспект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довольно по-разному касается общей области языка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гендера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области социальных наук и связанного с ней вопроса эмпирического исследования, на котором основано так много языковых и гендерных исследований. Это может быть затруднительно для студентов гуманитарных специальностей, изучающих языковые и гендерные модули, которые в основном не привыкли к этой форме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обучения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для которых лингвистическое описание и анализ (например, разговоры естественного происхождения) могут быть незнакомыми и утомительными. Возможно, более важным является вопрос о собственных эмпирических исследованиях студентов. Хотя это часто поощряется учителями, которые стремятся позиционировать своих учеников в качестве активных, создающих знания членов сообщества по изучению языка и гендерных вопросов (возможно, что-то особенно характерное для языка и пола, особенно в свете ряда соответствующих методологий, упомянутых выше)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Эти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методологии влекут за собой требования к учебным программам, которые, скажем, по 20-часовому модулю должны быть сбалансированы с важным языковым и гендерным содержанием учебных программ или, что лучше, соответствующим образом интегрированы.</w:t>
      </w:r>
    </w:p>
    <w:p w14:paraId="3E0EE197" w14:textId="69D40163" w:rsidR="007B0311" w:rsidRPr="008179C3" w:rsidRDefault="008179C3" w:rsidP="008179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>И н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аконец (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лишь в данной 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стать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е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-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вопрос доступности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сложности интеллектуальных концепций, заполняющих страницы текущих монографий и статей на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тему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язык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гендера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Относительно легко учить о «гендерных различиях» и «доминировании мужчин», в которых, как по-разному, мужчины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перебивают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женщин больше, чем наоборот, говорят больше, чем женщины, и вызывают меньше вопросов для разговора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возможности обратной связи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По опыту, новички в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данной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области более чем рады обсудить такие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вопросы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взглянуть на них в контексте своей собственной жизни и отношений, часто не имея проблем с идентификацией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результатами. Гораздо сложнее объяснить, что нынешняя языковая и гендерная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наука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выходит далеко за рамки гендерных различий в использовании языка (действительно, «гендерные различия» сами по себе являются проблемной концепцией во многих отношениях), что язык можно рассматривать как «конструирующий» пол, а не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только лишь 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отражая это, и то, что в настоящее время область касается таких понятий, как сообщества практики, теория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квира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позиционирование субъекта, идентичность, дискурс(ы), ориентация на пол,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перформативность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/ производительность и гарантии для требований. Эти сложные понятия необходимо решать и подходить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к ним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критически, но доступным способом. Это особенно сложно для учителей, работающих с неопытными студентами, или тех, кто «углубляется» в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тему 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язык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гендера, 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не име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я при этом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возможности для углубленного изучения области, и некоторые упрощения могут быть педагогически необходимыми и, действительно, уместными.</w:t>
      </w:r>
    </w:p>
    <w:p w14:paraId="00000036" w14:textId="6DC727B9" w:rsidR="00C367B0" w:rsidRPr="008179C3" w:rsidRDefault="00EC6748" w:rsidP="007B0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5. </w:t>
      </w:r>
      <w:r w:rsidR="008179C3" w:rsidRPr="008179C3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Разработка модулей по языку и </w:t>
      </w:r>
      <w:r w:rsidR="008179C3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гендеру</w:t>
      </w:r>
    </w:p>
    <w:p w14:paraId="00000037" w14:textId="0A3363D3" w:rsidR="00C367B0" w:rsidRPr="008179C3" w:rsidRDefault="008179C3" w:rsidP="007B03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5 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разделе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</w:t>
      </w: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ы рассмотрим четыре возможных способа разработки языкового и гендерного модуля в соответствии с различными организационными критериями.</w:t>
      </w:r>
      <w:r w:rsidR="00EC6748"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:</w:t>
      </w:r>
    </w:p>
    <w:p w14:paraId="00000039" w14:textId="097581F6" w:rsidR="00C367B0" w:rsidRPr="008179C3" w:rsidRDefault="00EC6748" w:rsidP="007B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</w:pPr>
      <w:r w:rsidRPr="00EC6748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/>
        </w:rPr>
        <w:lastRenderedPageBreak/>
        <w:t>A</w:t>
      </w:r>
      <w:r w:rsidRP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 xml:space="preserve">. </w:t>
      </w:r>
      <w:r w:rsid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>Исторический</w:t>
      </w:r>
    </w:p>
    <w:p w14:paraId="0000003A" w14:textId="7D2C4BDF" w:rsidR="00C367B0" w:rsidRPr="008179C3" w:rsidRDefault="00EC6748" w:rsidP="007B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</w:pPr>
      <w:r w:rsidRPr="00EC6748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/>
        </w:rPr>
        <w:t>B</w:t>
      </w:r>
      <w:r w:rsidRP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 xml:space="preserve">. </w:t>
      </w:r>
      <w:r w:rsid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>Тематический</w:t>
      </w:r>
    </w:p>
    <w:p w14:paraId="0000003B" w14:textId="259C4EAF" w:rsidR="00C367B0" w:rsidRPr="008179C3" w:rsidRDefault="00EC6748" w:rsidP="007B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</w:pPr>
      <w:r w:rsidRPr="00EC6748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/>
        </w:rPr>
        <w:t>C</w:t>
      </w:r>
      <w:r w:rsidRP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 xml:space="preserve">. </w:t>
      </w:r>
      <w:r w:rsid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>Теоретические</w:t>
      </w:r>
      <w:r w:rsidRP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>/</w:t>
      </w:r>
      <w:r w:rsid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>методологические</w:t>
      </w:r>
      <w:r w:rsidRP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 xml:space="preserve"> </w:t>
      </w:r>
      <w:r w:rsid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>подходы</w:t>
      </w:r>
    </w:p>
    <w:p w14:paraId="0000003C" w14:textId="4EE6540B" w:rsidR="00C367B0" w:rsidRPr="008179C3" w:rsidRDefault="00EC6748" w:rsidP="007B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EC6748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/>
        </w:rPr>
        <w:t>D</w:t>
      </w:r>
      <w:r w:rsidRP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 xml:space="preserve">. </w:t>
      </w:r>
      <w:r w:rsid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>Э</w:t>
      </w:r>
      <w:r w:rsidR="008179C3" w:rsidRPr="008179C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ru-RU"/>
        </w:rPr>
        <w:t>клектический</w:t>
      </w:r>
    </w:p>
    <w:p w14:paraId="4C807A26" w14:textId="77777777" w:rsidR="007B0311" w:rsidRPr="008179C3" w:rsidRDefault="007B0311" w:rsidP="007B0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</w:p>
    <w:p w14:paraId="0000003D" w14:textId="7BB8C490" w:rsidR="00C367B0" w:rsidRPr="008179C3" w:rsidRDefault="00EC6748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EC6748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>A</w:t>
      </w:r>
      <w:r w:rsidRPr="008179C3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. </w:t>
      </w:r>
      <w:r w:rsidR="008179C3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Исторический</w:t>
      </w:r>
      <w:r w:rsidRPr="008179C3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: </w:t>
      </w:r>
      <w:r w:rsidR="008179C3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Пример</w:t>
      </w:r>
    </w:p>
    <w:p w14:paraId="61B0E0F3" w14:textId="6991B590" w:rsidR="008179C3" w:rsidRPr="008179C3" w:rsidRDefault="008179C3" w:rsidP="008179C3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1. Эмпирические и неэмпирические ранние работы: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Хаас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Йесперсен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Haas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Jespersen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</w:p>
    <w:p w14:paraId="59B2B499" w14:textId="209AADE0" w:rsidR="008179C3" w:rsidRPr="008179C3" w:rsidRDefault="008179C3" w:rsidP="008179C3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2. Социолингвистическая работа: например,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Лабов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Трудгилл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Labov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Trudgill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</w:p>
    <w:p w14:paraId="37C7481F" w14:textId="35947623" w:rsidR="008179C3" w:rsidRPr="008179C3" w:rsidRDefault="008179C3" w:rsidP="008179C3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3. Ранняя феминистская работа: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Лакофф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Спендер</w:t>
      </w:r>
      <w:proofErr w:type="spellEnd"/>
      <w:r w:rsid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proofErr w:type="spellStart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Lakoff</w:t>
      </w:r>
      <w:proofErr w:type="spellEnd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Spender</w:t>
      </w:r>
      <w:proofErr w:type="spellEnd"/>
      <w:r w:rsid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</w:p>
    <w:p w14:paraId="73268E5F" w14:textId="609918A2" w:rsidR="008179C3" w:rsidRPr="008179C3" w:rsidRDefault="008179C3" w:rsidP="008179C3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4. Подход «доминирования мужчин»: Фишман,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Циммерман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Запад</w:t>
      </w:r>
      <w:r w:rsid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proofErr w:type="spellStart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Fishman</w:t>
      </w:r>
      <w:proofErr w:type="spellEnd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Zimmerman</w:t>
      </w:r>
      <w:proofErr w:type="spellEnd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and</w:t>
      </w:r>
      <w:proofErr w:type="spellEnd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West</w:t>
      </w:r>
      <w:proofErr w:type="spellEnd"/>
      <w:r w:rsid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</w:p>
    <w:p w14:paraId="2930CCCC" w14:textId="1F41C9DD" w:rsidR="008179C3" w:rsidRPr="008179C3" w:rsidRDefault="008179C3" w:rsidP="008179C3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5. Подход «культурного различия»: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Таннен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Коутс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Холмс</w:t>
      </w:r>
      <w:r w:rsidR="002654E8" w:rsidRPr="002654E8">
        <w:t xml:space="preserve"> </w:t>
      </w:r>
      <w:r w:rsidR="002654E8">
        <w:rPr>
          <w:lang w:val="ru-RU"/>
        </w:rPr>
        <w:t>(</w:t>
      </w:r>
      <w:proofErr w:type="spellStart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Tannen</w:t>
      </w:r>
      <w:proofErr w:type="spellEnd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Coates</w:t>
      </w:r>
      <w:proofErr w:type="spellEnd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proofErr w:type="spellStart"/>
      <w:r w:rsidR="002654E8"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Holmes</w:t>
      </w:r>
      <w:proofErr w:type="spellEnd"/>
      <w:r w:rsid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</w:p>
    <w:p w14:paraId="502D725E" w14:textId="77777777" w:rsidR="008179C3" w:rsidRPr="008179C3" w:rsidRDefault="008179C3" w:rsidP="008179C3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6.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Переход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к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дискурсу</w:t>
      </w:r>
      <w:proofErr w:type="spellEnd"/>
    </w:p>
    <w:p w14:paraId="7A896C31" w14:textId="6874DB6E" w:rsidR="008179C3" w:rsidRPr="002654E8" w:rsidRDefault="008179C3" w:rsidP="008179C3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7. </w:t>
      </w:r>
      <w:r w:rsid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Идентификация</w:t>
      </w:r>
    </w:p>
    <w:p w14:paraId="05089129" w14:textId="7A5BC6A0" w:rsidR="008179C3" w:rsidRPr="002654E8" w:rsidRDefault="008179C3" w:rsidP="008179C3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8. </w:t>
      </w:r>
      <w:r w:rsid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ерформативност</w:t>
      </w:r>
      <w:proofErr w:type="spellEnd"/>
      <w:r w:rsid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ь</w:t>
      </w:r>
    </w:p>
    <w:p w14:paraId="6EDA87E6" w14:textId="2DDFE2DC" w:rsidR="00EC6748" w:rsidRPr="002654E8" w:rsidRDefault="008179C3" w:rsidP="00817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9.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Сексуальность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/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Теория</w:t>
      </w:r>
      <w:proofErr w:type="spellEnd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8179C3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квира</w:t>
      </w:r>
      <w:proofErr w:type="spellEnd"/>
      <w:r w:rsid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</w:p>
    <w:p w14:paraId="1FFEA0CE" w14:textId="77777777" w:rsidR="002654E8" w:rsidRDefault="002654E8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14:paraId="00000047" w14:textId="2D7C98CC" w:rsidR="00C367B0" w:rsidRPr="002654E8" w:rsidRDefault="00EC6748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EC6748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>B.</w:t>
      </w:r>
      <w:r w:rsidRPr="002654E8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="002654E8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Тематические</w:t>
      </w:r>
      <w:r w:rsidRPr="002654E8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: </w:t>
      </w:r>
      <w:r w:rsidR="002654E8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Пример</w:t>
      </w:r>
    </w:p>
    <w:p w14:paraId="151A5005" w14:textId="77777777" w:rsidR="002654E8" w:rsidRPr="002654E8" w:rsidRDefault="002654E8" w:rsidP="002654E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1. </w:t>
      </w:r>
      <w:proofErr w:type="spellStart"/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Сексистский</w:t>
      </w:r>
      <w:proofErr w:type="spellEnd"/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язык</w:t>
      </w:r>
    </w:p>
    <w:p w14:paraId="36BE5DB4" w14:textId="632AF942" w:rsidR="002654E8" w:rsidRPr="002654E8" w:rsidRDefault="002654E8" w:rsidP="002654E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2. Женщины и мужчины разговаривают: один / смешанный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пол</w:t>
      </w: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; частные /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общественные диалоги</w:t>
      </w:r>
    </w:p>
    <w:p w14:paraId="401D9782" w14:textId="2C8D8729" w:rsidR="002654E8" w:rsidRPr="002654E8" w:rsidRDefault="002654E8" w:rsidP="002654E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3.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Тема</w:t>
      </w: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гендера и вежливости</w:t>
      </w:r>
    </w:p>
    <w:p w14:paraId="4A4A3D41" w14:textId="77777777" w:rsidR="002654E8" w:rsidRPr="002654E8" w:rsidRDefault="002654E8" w:rsidP="002654E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4. Классная беседа</w:t>
      </w:r>
    </w:p>
    <w:p w14:paraId="1D1CB717" w14:textId="77777777" w:rsidR="002654E8" w:rsidRPr="002654E8" w:rsidRDefault="002654E8" w:rsidP="002654E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5. Обсуждение на рабочем месте</w:t>
      </w:r>
    </w:p>
    <w:p w14:paraId="71A8A3FA" w14:textId="4C870A55" w:rsidR="002654E8" w:rsidRPr="002654E8" w:rsidRDefault="002654E8" w:rsidP="002654E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6. Пол и средства массовой информации - журналы, газеты, реклама</w:t>
      </w:r>
    </w:p>
    <w:p w14:paraId="6DA7979E" w14:textId="77777777" w:rsidR="002654E8" w:rsidRPr="002654E8" w:rsidRDefault="002654E8" w:rsidP="002654E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7. Язык, пол и вымысел</w:t>
      </w:r>
    </w:p>
    <w:p w14:paraId="51707485" w14:textId="77777777" w:rsidR="002654E8" w:rsidRPr="002654E8" w:rsidRDefault="002654E8" w:rsidP="002654E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>8. Язык, пол и сексуальность</w:t>
      </w:r>
    </w:p>
    <w:p w14:paraId="6232F05A" w14:textId="77777777" w:rsidR="002654E8" w:rsidRPr="002654E8" w:rsidRDefault="002654E8" w:rsidP="002654E8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9. Язык, пол и влиятельные институты (религия, политика)</w:t>
      </w:r>
    </w:p>
    <w:p w14:paraId="7DFFE8F1" w14:textId="73A441EE" w:rsidR="00EC6748" w:rsidRDefault="002654E8" w:rsidP="002654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</w:pPr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10. </w:t>
      </w:r>
      <w:proofErr w:type="spellStart"/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Гендер</w:t>
      </w:r>
      <w:proofErr w:type="spellEnd"/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и </w:t>
      </w:r>
      <w:proofErr w:type="spellStart"/>
      <w:r w:rsidRPr="002654E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кибер-коммуникация</w:t>
      </w:r>
      <w:proofErr w:type="spellEnd"/>
    </w:p>
    <w:p w14:paraId="7F824C9B" w14:textId="77777777" w:rsidR="002654E8" w:rsidRPr="00EC6748" w:rsidRDefault="002654E8" w:rsidP="002654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</w:pPr>
    </w:p>
    <w:p w14:paraId="00000052" w14:textId="1CEF4247" w:rsidR="00C367B0" w:rsidRPr="00C805D0" w:rsidRDefault="00EC6748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EC6748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>C</w:t>
      </w:r>
      <w:r w:rsidRPr="00C805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. </w:t>
      </w:r>
      <w:r w:rsidR="00C805D0" w:rsidRPr="00C805D0">
        <w:rPr>
          <w:rFonts w:ascii="Times New Roman" w:eastAsia="Times New Roman" w:hAnsi="Times New Roman" w:cs="Times New Roman"/>
          <w:b/>
          <w:iCs/>
          <w:spacing w:val="20"/>
          <w:sz w:val="28"/>
          <w:szCs w:val="28"/>
          <w:lang w:val="ru-RU"/>
        </w:rPr>
        <w:t>Теоретические/методологические подходы</w:t>
      </w:r>
    </w:p>
    <w:p w14:paraId="0C88218D" w14:textId="3920670A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1. Традиционные социолингвистические подходы: языковая вариация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</w:t>
      </w:r>
    </w:p>
    <w:p w14:paraId="5D7BC675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2. Этнографические / антропологические подходы</w:t>
      </w:r>
    </w:p>
    <w:p w14:paraId="70796518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3. Дискурс-анализ</w:t>
      </w:r>
    </w:p>
    <w:p w14:paraId="7C284DD0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4. Критический дискурс-анализ</w:t>
      </w:r>
    </w:p>
    <w:p w14:paraId="313E2DC2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5. Феминистский постструктуралистский дискурс-анализ</w:t>
      </w:r>
    </w:p>
    <w:p w14:paraId="396E356E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6. Разговорный анализ</w:t>
      </w:r>
    </w:p>
    <w:p w14:paraId="5404A184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7. Дискурсивная психология</w:t>
      </w:r>
    </w:p>
    <w:p w14:paraId="50B515A6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8. Корпусная лингвистика</w:t>
      </w:r>
    </w:p>
    <w:p w14:paraId="7D66EDEA" w14:textId="55A50505" w:rsidR="00EC6748" w:rsidRDefault="00C805D0" w:rsidP="00C8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9.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Т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еория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квира</w:t>
      </w:r>
      <w:proofErr w:type="spellEnd"/>
    </w:p>
    <w:p w14:paraId="36BE7B5E" w14:textId="77777777" w:rsidR="00C805D0" w:rsidRPr="00C805D0" w:rsidRDefault="00C805D0" w:rsidP="00C8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</w:p>
    <w:p w14:paraId="0000005C" w14:textId="63DF1074" w:rsidR="00C367B0" w:rsidRPr="00C805D0" w:rsidRDefault="00EC6748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EC6748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  <w:t>D</w:t>
      </w:r>
      <w:r w:rsidRPr="00C805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. </w:t>
      </w:r>
      <w:r w:rsidR="00C805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Эклектический</w:t>
      </w:r>
      <w:r w:rsidRPr="00C805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!</w:t>
      </w:r>
    </w:p>
    <w:p w14:paraId="394AAECC" w14:textId="2F6EF8F5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1. Введение -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Фолклингвистические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представления о языке и поле; как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формируется гендер в языковых рамках</w:t>
      </w:r>
    </w:p>
    <w:p w14:paraId="0120925E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2. Эмпирическая работа и феминистский вклад</w:t>
      </w:r>
    </w:p>
    <w:p w14:paraId="599BD3D9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3. «Гендерные различия» в использовании языка: подходы и критика</w:t>
      </w:r>
    </w:p>
    <w:p w14:paraId="4A1B1269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4. Пол и дискурс</w:t>
      </w:r>
    </w:p>
    <w:p w14:paraId="0B9E1EA3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5. Важность контекста</w:t>
      </w:r>
    </w:p>
    <w:p w14:paraId="4C0A1A8C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6. Дискурс-анализ (1): Критический дискурс-анализ (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CDA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</w:p>
    <w:p w14:paraId="3AA943B4" w14:textId="2580F0F4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7. Язык,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языковая классная комната</w:t>
      </w:r>
    </w:p>
    <w:p w14:paraId="0A9717E0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8. Дискурс-анализ (2): Феминистский постструктуралистский дискурс-анализ (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FPDA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</w:p>
    <w:p w14:paraId="617BAACA" w14:textId="77777777" w:rsidR="00C805D0" w:rsidRPr="00C805D0" w:rsidRDefault="00C805D0" w:rsidP="00C805D0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9. Письменные тексты: язык, пол и детские книги</w:t>
      </w:r>
    </w:p>
    <w:p w14:paraId="00000067" w14:textId="6053ECFC" w:rsidR="00C367B0" w:rsidRPr="00C805D0" w:rsidRDefault="00C805D0" w:rsidP="00C8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10. 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CA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/ Дискурсивная психология в изучении языка и пола</w:t>
      </w:r>
    </w:p>
    <w:p w14:paraId="00000068" w14:textId="58DA72E3" w:rsidR="00C367B0" w:rsidRPr="00C805D0" w:rsidRDefault="00C805D0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>Как показано в четырех различных учебных планах выше, что включать в языковой и гендерный модуль отнюдь не очевидно. Одним из ключевых вопросов для многих учителей является «Сколько истории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стоит включить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?»,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возникает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дилемм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а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Как и в других областях, текущие акценты в языке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гендере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как тематические, так и методологические, выросли из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предыдущих вопросов 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реакция на них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). Как упоминалось в разделе 1, предыдущие акценты включали в себя «гендерные различия», такие как «дефицит», «мужское доминирование» и «культурное различие». Но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то время как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исследования данной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област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значительно продвинул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сь, вплоть до того, что они полностью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проблематизировали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в значительной степени отвергли такие акценты, они (как мы предположили) одновременно привлекательны для многих студентов и интеллектуально понятны. Конечно, предыдущие акценты могут быть включены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однако их смысл не всегда может быть ясен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</w:p>
    <w:p w14:paraId="0DE39054" w14:textId="77777777" w:rsidR="000B2ED1" w:rsidRDefault="00C805D0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</w:pP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Если такая история должна быть включена (пример 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A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), необходимо решить вопрос о последовательности - должен ли языковой и гендерный модуль обязательно начинаться с истории, учитывая, что это может задать тон для оставшейся части модуля? Есть, конечно, другие организационные принципы. Одна из возможностей здесь (Пример 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B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 состоит в том, чтобы тематически упорядочить модуль (например, разговоры в классе, на рабочем месте, в средствах массовой информации) - хотя трудно понять, как этого можно достичь, если через него не проходит какой-то теоретический / методологический поток</w:t>
      </w:r>
      <w:r w:rsid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инфомации</w:t>
      </w:r>
      <w:proofErr w:type="spellEnd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Третья возможность (пример </w:t>
      </w:r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 состоит в том, чтобы упорядочить модуль в хронологическом порядке, но в соответствии с различными теоретико-методологическими подходами</w:t>
      </w:r>
      <w:r w:rsid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возможно, начиная с традиционных социолингвистических подходов (например, гендер в качестве очевидного в языковой вариации) и заканчивая теорией </w:t>
      </w:r>
      <w:proofErr w:type="spellStart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>квира</w:t>
      </w:r>
      <w:proofErr w:type="spellEnd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Однако такой подход, скорее всего, будет уместным для аспирантов и / или тех, кто уже имеет некоторый опыт в этой области.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Четвертая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возможность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-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это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«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эклектич</w:t>
      </w:r>
      <w:r w:rsid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еская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»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учебная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программа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(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пример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D),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через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которую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по-прежнему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необходимо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пройти</w:t>
      </w:r>
      <w:proofErr w:type="spellEnd"/>
      <w:r w:rsidRPr="00C805D0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.</w:t>
      </w:r>
    </w:p>
    <w:p w14:paraId="528985DF" w14:textId="01085AF6" w:rsidR="000B2ED1" w:rsidRPr="000B2ED1" w:rsidRDefault="000B2ED1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Второй ключевой вопрос о том, что включать в языковой и гендерный модуль, вращается вокруг сексуальности и, соответственно, теории </w:t>
      </w:r>
      <w:proofErr w:type="spellStart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квира</w:t>
      </w:r>
      <w:proofErr w:type="spellEnd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которая внесла свой важный вклад в язык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. Учитывая, что в наши дни преобладает стресс (гетеро) сексуальность, мало кто из преподавателей языка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гендера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будет утверждать, что сексуальность не заслуживает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изучения.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днако эта тема может все еще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частично 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отсутствовать,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так как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она представляет собой нечто вроде онтологической проблемы для «прямо идентифицирующих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себя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» учителей, и частично из-за сложной интеллектуальной задачи теории </w:t>
      </w:r>
      <w:proofErr w:type="spellStart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квира</w:t>
      </w:r>
      <w:proofErr w:type="spellEnd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</w:p>
    <w:p w14:paraId="0000006E" w14:textId="5AD24699" w:rsidR="00C367B0" w:rsidRPr="000B2ED1" w:rsidRDefault="000B2ED1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Третий вопрос - роль биологических факторов. Выше отмечал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ось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что они традиционно преуменьшались, но также предлагалось, чтобы исследователи критически взаимодействовали с соответствующей литературой. С точки зрения преподавания, мы могли бы утверждать, что изучение языка и гендера может решать биологические проблемы и дискуссии, не идя по путям </w:t>
      </w:r>
      <w:proofErr w:type="spellStart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эссенциализма</w:t>
      </w:r>
      <w:proofErr w:type="spellEnd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биологического детерминизма, и в то же время критически следя за дискурсами, сформулированными в различных типах объяснений (т.е. как они построено в литературе.) Дискуссия между психологами Стивеном </w:t>
      </w:r>
      <w:proofErr w:type="spellStart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Пинкером</w:t>
      </w:r>
      <w:proofErr w:type="spellEnd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Элизабет </w:t>
      </w:r>
      <w:proofErr w:type="spellStart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Спелк</w:t>
      </w:r>
      <w:proofErr w:type="spellEnd"/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на тему «Наука о гендере и науке» является потенциальным общим ресурсом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для изучения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хотя и не сфокусированным на языковых проблемах</w:t>
      </w:r>
      <w:r w:rsidR="00EC6748"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</w:t>
      </w:r>
      <w:r w:rsidR="00EC6748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Pinker</w:t>
      </w:r>
      <w:r w:rsidR="00EC6748"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EC6748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and</w:t>
      </w:r>
      <w:r w:rsidR="00EC6748"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="00EC6748" w:rsidRPr="00EC674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Spelke</w:t>
      </w:r>
      <w:proofErr w:type="spellEnd"/>
      <w:r w:rsidR="00EC6748"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2005).</w:t>
      </w:r>
    </w:p>
    <w:p w14:paraId="00000071" w14:textId="43AED78E" w:rsidR="00C367B0" w:rsidRPr="000B2ED1" w:rsidRDefault="000B2ED1" w:rsidP="000B2ED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Основным является вопрос времени. Языковая и гендерная сфера молодая, но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обширная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интеллектуально сложная и быстро растущая. Учителя должны решить, как отдать должное этому, </w:t>
      </w:r>
      <w:r w:rsidRPr="000B2ED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>скажем, в десяти двухчасовых сессиях, учитывая баланс не только содержания и методологии (уже упомянутых), но и того, что может представлять интерес для учащихся и что современного интереса в этой области, опосредуя последние в случае необходимости, чтобы сделать текущие вопросы доступными.</w:t>
      </w:r>
    </w:p>
    <w:p w14:paraId="00000072" w14:textId="0B9DE284" w:rsidR="00C367B0" w:rsidRPr="000B2ED1" w:rsidRDefault="00EC6748" w:rsidP="00EC67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</w:pPr>
      <w:r w:rsidRPr="000B2ED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6. </w:t>
      </w:r>
      <w:r w:rsidR="000B2ED1" w:rsidRPr="000B2ED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Язык и </w:t>
      </w:r>
      <w:r w:rsidR="000B2ED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>гендер</w:t>
      </w:r>
      <w:r w:rsidR="000B2ED1" w:rsidRPr="000B2ED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/>
        </w:rPr>
        <w:t xml:space="preserve"> как часть других языковых модулей</w:t>
      </w:r>
    </w:p>
    <w:p w14:paraId="00000073" w14:textId="12FD73B6" w:rsidR="00C367B0" w:rsidRPr="00C428C8" w:rsidRDefault="00C428C8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До сих пор мы фокусировались на языке и гендере как отдельном модуле, но язык и гендерные аспекты могут также выступать в качестве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части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других модулях, особенно в социолингвистике или других социально-ориентированных подходах к изучению языка. Один из вариантов - дать общее представление об этой области (примеры того, как это было сделано, можно найти в главах по языку и по гендерным вопросам в учебниках по социолингвистике - см.,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апример,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Holmes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2001; </w:t>
      </w:r>
      <w:proofErr w:type="spellStart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Meyerhoff</w:t>
      </w:r>
      <w:proofErr w:type="spellEnd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2006; </w:t>
      </w:r>
      <w:proofErr w:type="spellStart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Mesthrie</w:t>
      </w:r>
      <w:proofErr w:type="spellEnd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et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al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2000). Другой - выбрать только одну иллюстративную тему (например, язык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области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детских книг, образования или рабочего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пространства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). Здесь есть проблемы с отбором, но такая сессия должна сбалансировать интерес и доступность, по крайней мере, с оттенком современных подходов к этой области.</w:t>
      </w:r>
    </w:p>
    <w:p w14:paraId="00000074" w14:textId="47B1A188" w:rsidR="00C367B0" w:rsidRPr="00C428C8" w:rsidRDefault="00C428C8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Язык,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сексуальность также могут быть более тесно интегрированы в более широкое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исследование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языка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идентичности и связанных с ними тем. Переход от восприятия идентичности как к чему-то, что есть у человека (предшествующая категория, которая отражается в использовании языка), к восприятию его как интерактивного достижения (то, что он делает совершенно определенным образом в конкретных взаимодействиях), что привело к переосмыслению пола и его теоретизирование с точки зрения </w:t>
      </w:r>
      <w:proofErr w:type="spellStart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перформативности</w:t>
      </w:r>
      <w:proofErr w:type="spellEnd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(и его вариаций), как обсуждалось в разделе 1, в целом согласуется со многими современными работами по стилизации,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смены стилей, а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также связанным с локальным, 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определением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идентичностей</w:t>
      </w:r>
      <w:proofErr w:type="spellEnd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(например,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Coupland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1986; 2001;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lastRenderedPageBreak/>
        <w:t>Rampton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1995/2005). Кодовое переключение / стиль и пол / сексуальность не всегда обсуждаются вместе, но некоторые исследования действительно устраняют этот пробел (например,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Barrett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1999;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Besnier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2003;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Eckert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2007).</w:t>
      </w:r>
    </w:p>
    <w:p w14:paraId="3139A9D3" w14:textId="592430FF" w:rsidR="00C428C8" w:rsidRPr="00C428C8" w:rsidRDefault="00C428C8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Такие подходы менее соответствуют работе в рамках количественной вариационной традиции, которая обязательно использует менее </w:t>
      </w:r>
      <w:proofErr w:type="spellStart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контекстуализированный</w:t>
      </w:r>
      <w:proofErr w:type="spellEnd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подход к социальным категориям. Тем не менее, борьба между локальным, качественным исследованием идентичности и более широкими подходами, связанными с количественными методами, наряду с дебатами о потенциальной ценности сочетания внешне несовместимых подходов, является очень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важной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проблемой в языке и поле (например,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Holmes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1996;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Hultgren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2007;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Swann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2002). В связи с этим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гендерные аспекты служат полезным примером для изучения вопросов идентичности и категоризации.</w:t>
      </w:r>
    </w:p>
    <w:p w14:paraId="523CA30D" w14:textId="6DF0600D" w:rsidR="00C428C8" w:rsidRPr="00C428C8" w:rsidRDefault="00C428C8" w:rsidP="00EC6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Гендер также может быть использован при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рассмотрении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методологически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х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/ аналитически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х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вопрос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ов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: например, споры между представителями анализа разговоров (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CA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) и более критическими подходами к анализу дискурса при интерпретации текстов. В данном случае вопрос заключается в том, могут ли аналитики законно выходить за рамки самого текста и использовать различные вне-текстовые или контекстуальные факторы для интерпретации текста. Эта текстовая или контекстуальная дискуссия часто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затрагивается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отношении пола. Сторонники СА, занимающие твердую позицию в этом вопросе, будут настаивать на том, что взаимодействие можно интерпретировать с точки зрения пола только в том случае, если гендер явно «ориентирован» на участников. Это исключило бы корреляционные данные, этнографические данные или любой другой подход, учитывающий контекстуальные факторы. Для более полного обсуждения см.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д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ебаты между </w:t>
      </w:r>
      <w:proofErr w:type="spellStart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Schegloff</w:t>
      </w:r>
      <w:proofErr w:type="spellEnd"/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(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1997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),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Wetherell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(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1999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 др. В журнале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Discourse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and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Society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приводится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lastRenderedPageBreak/>
        <w:t xml:space="preserve">аргумент в пользу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CA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в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Speer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2005 и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Swann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2002. Этот и другие методологические вопросы также рассматриваются в отношении языка и пола в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Harrington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et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>al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(2007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печатная версия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).</w:t>
      </w:r>
    </w:p>
    <w:p w14:paraId="00000078" w14:textId="73605E42" w:rsidR="00C367B0" w:rsidRPr="00C428C8" w:rsidRDefault="00C428C8" w:rsidP="00C428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В тех случаях, когда невозможно преподавать целый модуль по языку 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гендеру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данная тема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по-прежнему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может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использоваться для преподавания смежных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областей</w:t>
      </w:r>
      <w:r w:rsidRPr="00C428C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, таких как язык и личность. Языковые и гендерные исследования также могут быть использованы при обсуждении более широких теоретических и методологических вопросов в изучении языка. В обоих случаях это может служить для обогащения и стимулирования дискуссий и дебатов.</w:t>
      </w:r>
    </w:p>
    <w:sectPr w:rsidR="00C367B0" w:rsidRPr="00C428C8" w:rsidSect="007B0311">
      <w:pgSz w:w="11906" w:h="16838"/>
      <w:pgMar w:top="1134" w:right="567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5EB9"/>
    <w:multiLevelType w:val="hybridMultilevel"/>
    <w:tmpl w:val="32A66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A32092"/>
    <w:multiLevelType w:val="hybridMultilevel"/>
    <w:tmpl w:val="582E6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EA027A"/>
    <w:multiLevelType w:val="hybridMultilevel"/>
    <w:tmpl w:val="77C66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513BD3"/>
    <w:multiLevelType w:val="hybridMultilevel"/>
    <w:tmpl w:val="89D40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9B1A8B"/>
    <w:multiLevelType w:val="hybridMultilevel"/>
    <w:tmpl w:val="E63AE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836B15"/>
    <w:multiLevelType w:val="hybridMultilevel"/>
    <w:tmpl w:val="895C2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1304C8"/>
    <w:multiLevelType w:val="hybridMultilevel"/>
    <w:tmpl w:val="5E80E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C16297"/>
    <w:multiLevelType w:val="hybridMultilevel"/>
    <w:tmpl w:val="09E01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8302D2"/>
    <w:multiLevelType w:val="hybridMultilevel"/>
    <w:tmpl w:val="C834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7B0"/>
    <w:rsid w:val="000B2ED1"/>
    <w:rsid w:val="001F0487"/>
    <w:rsid w:val="002654E8"/>
    <w:rsid w:val="00460230"/>
    <w:rsid w:val="007B0311"/>
    <w:rsid w:val="007D3289"/>
    <w:rsid w:val="008179C3"/>
    <w:rsid w:val="00827DD1"/>
    <w:rsid w:val="00874001"/>
    <w:rsid w:val="00AF1307"/>
    <w:rsid w:val="00BA0F94"/>
    <w:rsid w:val="00C367B0"/>
    <w:rsid w:val="00C428C8"/>
    <w:rsid w:val="00C805D0"/>
    <w:rsid w:val="00D64DB2"/>
    <w:rsid w:val="00E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775C"/>
  <w15:docId w15:val="{ED561622-87C7-3C4F-A8E4-6535058F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B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Microsoft Office User</cp:lastModifiedBy>
  <cp:revision>3</cp:revision>
  <dcterms:created xsi:type="dcterms:W3CDTF">2020-04-01T10:32:00Z</dcterms:created>
  <dcterms:modified xsi:type="dcterms:W3CDTF">2020-04-01T11:00:00Z</dcterms:modified>
</cp:coreProperties>
</file>