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D6" w:rsidRPr="00B17AD0" w:rsidRDefault="00BA0BD6" w:rsidP="00BA0BD6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17AD0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ЮРИДИЧНИЙ ВИСНОВОК </w:t>
      </w:r>
    </w:p>
    <w:p w:rsidR="00BA0BD6" w:rsidRPr="00B17AD0" w:rsidRDefault="00BA0BD6" w:rsidP="00BA0BD6">
      <w:pPr>
        <w:pBdr>
          <w:bottom w:val="single" w:sz="4" w:space="1" w:color="auto"/>
        </w:pBdr>
        <w:tabs>
          <w:tab w:val="left" w:pos="709"/>
          <w:tab w:val="left" w:pos="1418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bookmarkStart w:id="0" w:name="_GoBack"/>
      <w:bookmarkEnd w:id="0"/>
    </w:p>
    <w:p w:rsidR="00BA0BD6" w:rsidRPr="00B17AD0" w:rsidRDefault="00BA0BD6" w:rsidP="00BA0BD6">
      <w:pPr>
        <w:tabs>
          <w:tab w:val="left" w:pos="709"/>
          <w:tab w:val="left" w:pos="1418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BA0BD6" w:rsidRPr="00B17AD0" w:rsidRDefault="00BA0BD6" w:rsidP="00BA0B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82993" w:rsidRPr="00463B47" w:rsidRDefault="00BA0BD6" w:rsidP="00F72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463B4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Цей юридичний висновок </w:t>
      </w:r>
      <w:r w:rsidRPr="00463B4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підготовлений з метою </w:t>
      </w:r>
      <w:r w:rsidR="000C147F" w:rsidRPr="00463B4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 визначення дати створення електронних первинних документів</w:t>
      </w:r>
      <w:r w:rsidR="00673A9B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.</w:t>
      </w:r>
    </w:p>
    <w:p w:rsidR="005D0E6D" w:rsidRDefault="005D0E6D" w:rsidP="00D14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C5B3F" w:rsidRPr="003C7FB5" w:rsidRDefault="00DC5B3F" w:rsidP="003C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підписання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ЕД за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допомогою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ЕЦП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фіксується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час, коли ЕЦП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накладена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Якщо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ми говоримо про </w:t>
      </w:r>
      <w:proofErr w:type="spellStart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паперовий</w:t>
      </w:r>
      <w:proofErr w:type="spellEnd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акт</w:t>
      </w:r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то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після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підписання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його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обома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сторонами все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виглядатиме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так,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нібито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вони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підписали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його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одномоментно при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складанні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AC672B" w:rsidRPr="003C7FB5" w:rsidRDefault="00DC5B3F" w:rsidP="003C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Навідміну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електронний</w:t>
      </w:r>
      <w:proofErr w:type="spellEnd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акт </w:t>
      </w:r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цьому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розумінні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значно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</w:t>
      </w:r>
      <w:proofErr w:type="spellStart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чесніший</w:t>
      </w:r>
      <w:proofErr w:type="spellEnd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»</w:t>
      </w:r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так, на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ньому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стоятиме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дата </w:t>
      </w:r>
      <w:proofErr w:type="spellStart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складання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нагадаємо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один з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обов’язкових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реквізитів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первинного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документа), але,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окрім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цього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будуть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і ЕЦП (як правило,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керівників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орендодавця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орендаря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з </w:t>
      </w:r>
      <w:proofErr w:type="spellStart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позначкою</w:t>
      </w:r>
      <w:proofErr w:type="spellEnd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часу</w:t>
      </w:r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яка правдиво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розповість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усім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зацікавленим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особам про те, коли документ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фактично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було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погоджено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(коли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його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підписали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обидві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сторони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).</w:t>
      </w:r>
    </w:p>
    <w:p w:rsidR="00DC5B3F" w:rsidRPr="003C7FB5" w:rsidRDefault="00DC5B3F" w:rsidP="003C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Відповідно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 абзацу11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1 ЗУ «Про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бухгалтерський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облік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фінансову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звітність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Україні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(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далі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Закон </w:t>
      </w:r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№</w:t>
      </w:r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996)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первинний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документ - документ,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який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містить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відомості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господарську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операцію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797ED6" w:rsidRPr="003C7FB5" w:rsidRDefault="00DC5B3F" w:rsidP="003C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val="uk-UA" w:eastAsia="ru-RU"/>
        </w:rPr>
      </w:pP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Дійсно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proofErr w:type="spellStart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підставою</w:t>
      </w:r>
      <w:proofErr w:type="spellEnd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для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бухгалтерського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обліку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господарських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операцій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є </w:t>
      </w:r>
      <w:proofErr w:type="spellStart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первинні</w:t>
      </w:r>
      <w:proofErr w:type="spellEnd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документи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r w:rsidR="003C7FB5"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Однак, </w:t>
      </w:r>
      <w:r w:rsidR="003C7FB5"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ля контролю та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впорядкування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оброблення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даних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підставі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первинних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документів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можуть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складатися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yellow"/>
          <w:u w:val="single"/>
          <w:lang w:eastAsia="ru-RU"/>
        </w:rPr>
        <w:t>зведені</w:t>
      </w:r>
      <w:proofErr w:type="spellEnd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yellow"/>
          <w:u w:val="single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yellow"/>
          <w:u w:val="single"/>
          <w:lang w:eastAsia="ru-RU"/>
        </w:rPr>
        <w:t>облікові</w:t>
      </w:r>
      <w:proofErr w:type="spellEnd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yellow"/>
          <w:u w:val="single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yellow"/>
          <w:u w:val="single"/>
          <w:lang w:eastAsia="ru-RU"/>
        </w:rPr>
        <w:t>документи</w:t>
      </w:r>
      <w:proofErr w:type="spellEnd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.</w:t>
      </w:r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val="uk-UA" w:eastAsia="ru-RU"/>
        </w:rPr>
        <w:t xml:space="preserve"> </w:t>
      </w:r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(ч. 1 ст. 9 </w:t>
      </w:r>
      <w:hyperlink r:id="rId6" w:tgtFrame="_blank" w:history="1">
        <w:r w:rsidRPr="003C7FB5">
          <w:rPr>
            <w:rFonts w:ascii="Times New Roman" w:eastAsia="Times New Roman" w:hAnsi="Times New Roman" w:cs="Times New Roman"/>
            <w:color w:val="212529"/>
            <w:sz w:val="24"/>
            <w:szCs w:val="24"/>
            <w:lang w:eastAsia="ru-RU"/>
          </w:rPr>
          <w:t xml:space="preserve">Закону про </w:t>
        </w:r>
        <w:proofErr w:type="spellStart"/>
        <w:r w:rsidRPr="003C7FB5">
          <w:rPr>
            <w:rFonts w:ascii="Times New Roman" w:eastAsia="Times New Roman" w:hAnsi="Times New Roman" w:cs="Times New Roman"/>
            <w:color w:val="212529"/>
            <w:sz w:val="24"/>
            <w:szCs w:val="24"/>
            <w:lang w:eastAsia="ru-RU"/>
          </w:rPr>
          <w:t>бухоблік</w:t>
        </w:r>
        <w:proofErr w:type="spellEnd"/>
      </w:hyperlink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="003C7FB5"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. </w:t>
      </w:r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Тобто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госпоперації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мають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бути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відображені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облікових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регістрах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у тому </w:t>
      </w:r>
      <w:proofErr w:type="spellStart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звітному</w:t>
      </w:r>
      <w:proofErr w:type="spellEnd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періоді</w:t>
      </w:r>
      <w:proofErr w:type="spellEnd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, у </w:t>
      </w:r>
      <w:proofErr w:type="spellStart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якому</w:t>
      </w:r>
      <w:proofErr w:type="spellEnd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вони </w:t>
      </w:r>
      <w:proofErr w:type="spellStart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були</w:t>
      </w:r>
      <w:proofErr w:type="spellEnd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здійснені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(ч. 5 ст. 9</w:t>
      </w:r>
      <w:hyperlink r:id="rId7" w:tgtFrame="_blank" w:history="1">
        <w:r w:rsidRPr="003C7FB5">
          <w:rPr>
            <w:rFonts w:ascii="Times New Roman" w:eastAsia="Times New Roman" w:hAnsi="Times New Roman" w:cs="Times New Roman"/>
            <w:color w:val="212529"/>
            <w:sz w:val="24"/>
            <w:szCs w:val="24"/>
            <w:lang w:eastAsia="ru-RU"/>
          </w:rPr>
          <w:t xml:space="preserve"> Закону про </w:t>
        </w:r>
        <w:proofErr w:type="spellStart"/>
        <w:r w:rsidRPr="003C7FB5">
          <w:rPr>
            <w:rFonts w:ascii="Times New Roman" w:eastAsia="Times New Roman" w:hAnsi="Times New Roman" w:cs="Times New Roman"/>
            <w:color w:val="212529"/>
            <w:sz w:val="24"/>
            <w:szCs w:val="24"/>
            <w:lang w:eastAsia="ru-RU"/>
          </w:rPr>
          <w:t>бухоблік</w:t>
        </w:r>
        <w:proofErr w:type="spellEnd"/>
      </w:hyperlink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).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Іншими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словами,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якщо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складений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вересні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орендний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акт </w:t>
      </w:r>
      <w:proofErr w:type="spellStart"/>
      <w:proofErr w:type="gram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gram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ідтверджує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факт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перебування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майна в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оренді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вересні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то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сторони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повинні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відобразити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доходи й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витрати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підставі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такого акта у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вересні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навіть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якщо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ЕЦП на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нього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сторони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накладуть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початку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жовтня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797ED6" w:rsidRPr="003C7FB5" w:rsidRDefault="006316DA" w:rsidP="003C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Крім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того, </w:t>
      </w:r>
      <w:r w:rsidR="00AC672B"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 2.2.</w:t>
      </w:r>
      <w:r w:rsidR="00797ED6"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Положення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документальне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забезпечення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записів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бухгалтерському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обліку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(</w:t>
      </w:r>
      <w:proofErr w:type="spellStart"/>
      <w:r w:rsidRPr="003C7FB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далі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— </w:t>
      </w:r>
      <w:proofErr w:type="spellStart"/>
      <w:r w:rsidR="001F23D0">
        <w:fldChar w:fldCharType="begin"/>
      </w:r>
      <w:r w:rsidR="001F23D0">
        <w:instrText xml:space="preserve"> HYPERLINK "https://interbuh.com.ua/ua/documents/oneregulation</w:instrText>
      </w:r>
      <w:r w:rsidR="001F23D0">
        <w:instrText xml:space="preserve">s/55059" \t "_blank" </w:instrText>
      </w:r>
      <w:r w:rsidR="001F23D0">
        <w:fldChar w:fldCharType="separate"/>
      </w:r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Положення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88</w:t>
      </w:r>
      <w:r w:rsidR="001F23D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="00797ED6"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 </w:t>
      </w:r>
      <w:r w:rsidR="00797ED6"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визначено, </w:t>
      </w:r>
      <w:r w:rsidR="00AC672B"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що </w:t>
      </w:r>
      <w:r w:rsidR="00AC672B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ідставою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бухгалтерського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обліку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господарських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операцій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є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первинні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документи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реалізації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товарів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готівку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допускається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складання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первинного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документа не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рідше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одного разу на день на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підставі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даних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касових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апаратів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чеків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тощо</w:t>
      </w:r>
      <w:proofErr w:type="spellEnd"/>
      <w:r w:rsidR="00797ED6" w:rsidRPr="003C7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Для контролю та </w:t>
      </w:r>
      <w:proofErr w:type="spellStart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впорядкування</w:t>
      </w:r>
      <w:proofErr w:type="spellEnd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обробки</w:t>
      </w:r>
      <w:proofErr w:type="spellEnd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інформації</w:t>
      </w:r>
      <w:proofErr w:type="spellEnd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на </w:t>
      </w:r>
      <w:proofErr w:type="spellStart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основі</w:t>
      </w:r>
      <w:proofErr w:type="spellEnd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первинних</w:t>
      </w:r>
      <w:proofErr w:type="spellEnd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документів</w:t>
      </w:r>
      <w:proofErr w:type="spellEnd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можуть</w:t>
      </w:r>
      <w:proofErr w:type="spellEnd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складатися</w:t>
      </w:r>
      <w:proofErr w:type="spellEnd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  <w:shd w:val="clear" w:color="auto" w:fill="FFFFFF"/>
        </w:rPr>
        <w:t>зведені</w:t>
      </w:r>
      <w:proofErr w:type="spellEnd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  <w:shd w:val="clear" w:color="auto" w:fill="FFFFFF"/>
        </w:rPr>
        <w:t xml:space="preserve"> </w:t>
      </w:r>
      <w:proofErr w:type="spellStart"/>
      <w:r w:rsidR="00797ED6" w:rsidRPr="003C7FB5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  <w:shd w:val="clear" w:color="auto" w:fill="FFFFFF"/>
        </w:rPr>
        <w:t>документи</w:t>
      </w:r>
      <w:proofErr w:type="spellEnd"/>
      <w:r w:rsidR="00AC672B" w:rsidRPr="003C7F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.</w:t>
      </w:r>
      <w:proofErr w:type="gramEnd"/>
    </w:p>
    <w:p w:rsidR="00352F8A" w:rsidRPr="00556A2C" w:rsidRDefault="002D6963" w:rsidP="003C7FB5">
      <w:pPr>
        <w:pStyle w:val="rvps2"/>
        <w:shd w:val="clear" w:color="auto" w:fill="FFFFFF"/>
        <w:spacing w:before="0" w:beforeAutospacing="0" w:after="0" w:afterAutospacing="0"/>
        <w:ind w:firstLine="919"/>
        <w:jc w:val="both"/>
        <w:rPr>
          <w:color w:val="000000"/>
        </w:rPr>
      </w:pPr>
      <w:r w:rsidRPr="00556A2C">
        <w:rPr>
          <w:color w:val="000000"/>
          <w:lang w:val="uk-UA"/>
        </w:rPr>
        <w:t xml:space="preserve">Крім того п </w:t>
      </w:r>
      <w:r w:rsidR="00797ED6" w:rsidRPr="00556A2C">
        <w:rPr>
          <w:color w:val="000000"/>
        </w:rPr>
        <w:t xml:space="preserve">2.6. </w:t>
      </w:r>
      <w:proofErr w:type="spellStart"/>
      <w:r w:rsidRPr="00556A2C">
        <w:rPr>
          <w:bCs/>
          <w:color w:val="212529"/>
        </w:rPr>
        <w:t>Положення</w:t>
      </w:r>
      <w:proofErr w:type="spellEnd"/>
      <w:r w:rsidRPr="00556A2C">
        <w:rPr>
          <w:bCs/>
          <w:color w:val="212529"/>
        </w:rPr>
        <w:t xml:space="preserve"> </w:t>
      </w:r>
      <w:r w:rsidRPr="00556A2C">
        <w:rPr>
          <w:bCs/>
          <w:color w:val="212529"/>
          <w:lang w:val="uk-UA"/>
        </w:rPr>
        <w:t xml:space="preserve">№ 88 </w:t>
      </w:r>
      <w:r w:rsidR="00DC5B3F" w:rsidRPr="00556A2C">
        <w:rPr>
          <w:color w:val="000000"/>
          <w:lang w:val="uk-UA"/>
        </w:rPr>
        <w:t xml:space="preserve">передбачено, якщо </w:t>
      </w:r>
      <w:bookmarkStart w:id="1" w:name="n108"/>
      <w:bookmarkEnd w:id="1"/>
      <w:r w:rsidR="00797ED6" w:rsidRPr="00556A2C">
        <w:rPr>
          <w:color w:val="000000"/>
        </w:rPr>
        <w:t xml:space="preserve">правилами </w:t>
      </w:r>
      <w:proofErr w:type="spellStart"/>
      <w:r w:rsidR="00797ED6" w:rsidRPr="00556A2C">
        <w:rPr>
          <w:color w:val="000000"/>
        </w:rPr>
        <w:t>документообігу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підприємства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передбачена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можливість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відображення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господарської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операції</w:t>
      </w:r>
      <w:proofErr w:type="spellEnd"/>
      <w:r w:rsidR="00797ED6" w:rsidRPr="00556A2C">
        <w:rPr>
          <w:color w:val="000000"/>
        </w:rPr>
        <w:t xml:space="preserve">, </w:t>
      </w:r>
      <w:proofErr w:type="spellStart"/>
      <w:r w:rsidR="00797ED6" w:rsidRPr="00556A2C">
        <w:rPr>
          <w:color w:val="000000"/>
        </w:rPr>
        <w:t>щодо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якої</w:t>
      </w:r>
      <w:proofErr w:type="spellEnd"/>
      <w:r w:rsidR="00797ED6" w:rsidRPr="00556A2C">
        <w:rPr>
          <w:color w:val="000000"/>
        </w:rPr>
        <w:t xml:space="preserve"> на момент </w:t>
      </w:r>
      <w:proofErr w:type="spellStart"/>
      <w:r w:rsidR="00797ED6" w:rsidRPr="00556A2C">
        <w:rPr>
          <w:color w:val="000000"/>
        </w:rPr>
        <w:t>закінчення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складання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облікових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регістрів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бухгалтерського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обліку</w:t>
      </w:r>
      <w:proofErr w:type="spellEnd"/>
      <w:r w:rsidR="00797ED6" w:rsidRPr="00556A2C">
        <w:rPr>
          <w:color w:val="000000"/>
        </w:rPr>
        <w:t xml:space="preserve"> за </w:t>
      </w:r>
      <w:proofErr w:type="spellStart"/>
      <w:r w:rsidR="00797ED6" w:rsidRPr="00556A2C">
        <w:rPr>
          <w:color w:val="000000"/>
        </w:rPr>
        <w:t>звітний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період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від</w:t>
      </w:r>
      <w:proofErr w:type="spellEnd"/>
      <w:r w:rsidR="00797ED6" w:rsidRPr="00556A2C">
        <w:rPr>
          <w:color w:val="000000"/>
        </w:rPr>
        <w:t xml:space="preserve"> контрагента у </w:t>
      </w:r>
      <w:proofErr w:type="spellStart"/>
      <w:r w:rsidR="00797ED6" w:rsidRPr="00556A2C">
        <w:rPr>
          <w:color w:val="000000"/>
        </w:rPr>
        <w:t>терміни</w:t>
      </w:r>
      <w:proofErr w:type="spellEnd"/>
      <w:r w:rsidR="00797ED6" w:rsidRPr="00556A2C">
        <w:rPr>
          <w:color w:val="000000"/>
        </w:rPr>
        <w:t xml:space="preserve">, </w:t>
      </w:r>
      <w:proofErr w:type="spellStart"/>
      <w:r w:rsidR="00797ED6" w:rsidRPr="00556A2C">
        <w:rPr>
          <w:color w:val="000000"/>
        </w:rPr>
        <w:t>встановлені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законодавством</w:t>
      </w:r>
      <w:proofErr w:type="spellEnd"/>
      <w:r w:rsidR="00797ED6" w:rsidRPr="00556A2C">
        <w:rPr>
          <w:color w:val="000000"/>
        </w:rPr>
        <w:t xml:space="preserve">, не </w:t>
      </w:r>
      <w:proofErr w:type="spellStart"/>
      <w:r w:rsidR="00797ED6" w:rsidRPr="00556A2C">
        <w:rPr>
          <w:color w:val="000000"/>
        </w:rPr>
        <w:t>отримано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первинного</w:t>
      </w:r>
      <w:proofErr w:type="spellEnd"/>
      <w:r w:rsidR="00797ED6" w:rsidRPr="00556A2C">
        <w:rPr>
          <w:color w:val="000000"/>
        </w:rPr>
        <w:t xml:space="preserve"> документа, </w:t>
      </w:r>
      <w:proofErr w:type="spellStart"/>
      <w:r w:rsidR="00797ED6" w:rsidRPr="00556A2C">
        <w:rPr>
          <w:color w:val="000000"/>
        </w:rPr>
        <w:t>підставою</w:t>
      </w:r>
      <w:proofErr w:type="spellEnd"/>
      <w:r w:rsidR="00797ED6" w:rsidRPr="00556A2C">
        <w:rPr>
          <w:color w:val="000000"/>
        </w:rPr>
        <w:t xml:space="preserve"> для </w:t>
      </w:r>
      <w:proofErr w:type="spellStart"/>
      <w:r w:rsidR="00797ED6" w:rsidRPr="00556A2C">
        <w:rPr>
          <w:color w:val="000000"/>
        </w:rPr>
        <w:t>перенесення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інформації</w:t>
      </w:r>
      <w:proofErr w:type="spellEnd"/>
      <w:r w:rsidR="00797ED6" w:rsidRPr="00556A2C">
        <w:rPr>
          <w:color w:val="000000"/>
        </w:rPr>
        <w:t xml:space="preserve"> про </w:t>
      </w:r>
      <w:proofErr w:type="spellStart"/>
      <w:r w:rsidR="00797ED6" w:rsidRPr="00556A2C">
        <w:rPr>
          <w:color w:val="000000"/>
        </w:rPr>
        <w:t>таку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господарську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операцію</w:t>
      </w:r>
      <w:proofErr w:type="spellEnd"/>
      <w:r w:rsidR="00797ED6" w:rsidRPr="00556A2C">
        <w:rPr>
          <w:color w:val="000000"/>
        </w:rPr>
        <w:t xml:space="preserve"> до </w:t>
      </w:r>
      <w:proofErr w:type="spellStart"/>
      <w:r w:rsidR="00797ED6" w:rsidRPr="00556A2C">
        <w:rPr>
          <w:color w:val="000000"/>
        </w:rPr>
        <w:t>облікових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регістрів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бухгалтерського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обліку</w:t>
      </w:r>
      <w:proofErr w:type="spellEnd"/>
      <w:r w:rsidR="00797ED6" w:rsidRPr="00556A2C">
        <w:rPr>
          <w:color w:val="000000"/>
        </w:rPr>
        <w:t xml:space="preserve"> є </w:t>
      </w:r>
      <w:proofErr w:type="spellStart"/>
      <w:r w:rsidR="00797ED6" w:rsidRPr="00556A2C">
        <w:rPr>
          <w:color w:val="000000"/>
        </w:rPr>
        <w:t>належним</w:t>
      </w:r>
      <w:proofErr w:type="spellEnd"/>
      <w:r w:rsidR="00797ED6" w:rsidRPr="00556A2C">
        <w:rPr>
          <w:color w:val="000000"/>
        </w:rPr>
        <w:t xml:space="preserve"> чином </w:t>
      </w:r>
      <w:r w:rsidR="00797ED6" w:rsidRPr="00556A2C">
        <w:rPr>
          <w:b/>
          <w:color w:val="000000"/>
          <w:highlight w:val="yellow"/>
          <w:u w:val="single"/>
        </w:rPr>
        <w:t xml:space="preserve">оформлений </w:t>
      </w:r>
      <w:proofErr w:type="spellStart"/>
      <w:r w:rsidR="00797ED6" w:rsidRPr="00556A2C">
        <w:rPr>
          <w:b/>
          <w:color w:val="000000"/>
          <w:highlight w:val="yellow"/>
          <w:u w:val="single"/>
        </w:rPr>
        <w:t>внутрішній</w:t>
      </w:r>
      <w:proofErr w:type="spellEnd"/>
      <w:r w:rsidR="00797ED6" w:rsidRPr="00556A2C">
        <w:rPr>
          <w:b/>
          <w:color w:val="000000"/>
          <w:highlight w:val="yellow"/>
          <w:u w:val="single"/>
        </w:rPr>
        <w:t xml:space="preserve"> </w:t>
      </w:r>
      <w:proofErr w:type="spellStart"/>
      <w:r w:rsidR="00797ED6" w:rsidRPr="00556A2C">
        <w:rPr>
          <w:b/>
          <w:color w:val="000000"/>
          <w:highlight w:val="yellow"/>
          <w:u w:val="single"/>
        </w:rPr>
        <w:t>первинний</w:t>
      </w:r>
      <w:proofErr w:type="spellEnd"/>
      <w:r w:rsidR="00797ED6" w:rsidRPr="00556A2C">
        <w:rPr>
          <w:b/>
          <w:color w:val="000000"/>
          <w:highlight w:val="yellow"/>
          <w:u w:val="single"/>
        </w:rPr>
        <w:t xml:space="preserve"> документ</w:t>
      </w:r>
      <w:r w:rsidR="00797ED6" w:rsidRPr="00556A2C">
        <w:rPr>
          <w:b/>
          <w:color w:val="000000"/>
          <w:u w:val="single"/>
        </w:rPr>
        <w:t xml:space="preserve"> (акт)</w:t>
      </w:r>
      <w:r w:rsidR="00797ED6" w:rsidRPr="00556A2C">
        <w:rPr>
          <w:color w:val="000000"/>
        </w:rPr>
        <w:t xml:space="preserve">, </w:t>
      </w:r>
      <w:proofErr w:type="spellStart"/>
      <w:r w:rsidR="00797ED6" w:rsidRPr="00556A2C">
        <w:rPr>
          <w:color w:val="000000"/>
        </w:rPr>
        <w:t>складений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посадовою</w:t>
      </w:r>
      <w:proofErr w:type="spellEnd"/>
      <w:r w:rsidR="00797ED6" w:rsidRPr="00556A2C">
        <w:rPr>
          <w:color w:val="000000"/>
        </w:rPr>
        <w:t xml:space="preserve"> особою, </w:t>
      </w:r>
      <w:proofErr w:type="spellStart"/>
      <w:r w:rsidR="00797ED6" w:rsidRPr="00556A2C">
        <w:rPr>
          <w:color w:val="000000"/>
        </w:rPr>
        <w:t>відповідальною</w:t>
      </w:r>
      <w:proofErr w:type="spellEnd"/>
      <w:r w:rsidR="00797ED6" w:rsidRPr="00556A2C">
        <w:rPr>
          <w:color w:val="000000"/>
        </w:rPr>
        <w:t xml:space="preserve"> за </w:t>
      </w:r>
      <w:proofErr w:type="spellStart"/>
      <w:r w:rsidR="00797ED6" w:rsidRPr="00556A2C">
        <w:rPr>
          <w:color w:val="000000"/>
        </w:rPr>
        <w:t>приймання-відпуск</w:t>
      </w:r>
      <w:proofErr w:type="spellEnd"/>
      <w:r w:rsidR="00797ED6" w:rsidRPr="00556A2C">
        <w:rPr>
          <w:color w:val="000000"/>
        </w:rPr>
        <w:t xml:space="preserve"> товарно-</w:t>
      </w:r>
      <w:proofErr w:type="spellStart"/>
      <w:r w:rsidR="00797ED6" w:rsidRPr="00556A2C">
        <w:rPr>
          <w:color w:val="000000"/>
        </w:rPr>
        <w:t>матеріальних</w:t>
      </w:r>
      <w:proofErr w:type="spellEnd"/>
      <w:r w:rsidR="00797ED6" w:rsidRPr="00556A2C">
        <w:rPr>
          <w:color w:val="000000"/>
        </w:rPr>
        <w:t xml:space="preserve"> </w:t>
      </w:r>
      <w:proofErr w:type="spellStart"/>
      <w:r w:rsidR="00797ED6" w:rsidRPr="00556A2C">
        <w:rPr>
          <w:color w:val="000000"/>
        </w:rPr>
        <w:t>цінностей</w:t>
      </w:r>
      <w:proofErr w:type="spellEnd"/>
      <w:r w:rsidR="00797ED6" w:rsidRPr="00556A2C">
        <w:rPr>
          <w:color w:val="000000"/>
        </w:rPr>
        <w:t xml:space="preserve">, </w:t>
      </w:r>
      <w:proofErr w:type="spellStart"/>
      <w:r w:rsidR="00797ED6" w:rsidRPr="00556A2C">
        <w:rPr>
          <w:color w:val="000000"/>
        </w:rPr>
        <w:t>робіт</w:t>
      </w:r>
      <w:proofErr w:type="spellEnd"/>
      <w:r w:rsidR="00797ED6" w:rsidRPr="00556A2C">
        <w:rPr>
          <w:color w:val="000000"/>
        </w:rPr>
        <w:t xml:space="preserve"> і </w:t>
      </w:r>
      <w:proofErr w:type="spellStart"/>
      <w:r w:rsidR="00797ED6" w:rsidRPr="00556A2C">
        <w:rPr>
          <w:color w:val="000000"/>
        </w:rPr>
        <w:t>послуг</w:t>
      </w:r>
      <w:proofErr w:type="spellEnd"/>
      <w:r w:rsidR="00797ED6" w:rsidRPr="00556A2C">
        <w:rPr>
          <w:color w:val="000000"/>
        </w:rPr>
        <w:t>.</w:t>
      </w:r>
    </w:p>
    <w:p w:rsidR="000D1351" w:rsidRPr="003C7FB5" w:rsidRDefault="000D1351" w:rsidP="003C7FB5">
      <w:pPr>
        <w:pStyle w:val="rvps2"/>
        <w:shd w:val="clear" w:color="auto" w:fill="FFFFFF"/>
        <w:spacing w:before="0" w:beforeAutospacing="0" w:after="0" w:afterAutospacing="0"/>
        <w:ind w:firstLine="919"/>
        <w:jc w:val="both"/>
        <w:rPr>
          <w:color w:val="000000"/>
          <w:lang w:val="uk-UA"/>
        </w:rPr>
      </w:pPr>
      <w:r w:rsidRPr="003C7FB5">
        <w:rPr>
          <w:color w:val="212529"/>
        </w:rPr>
        <w:t xml:space="preserve">У таких </w:t>
      </w:r>
      <w:proofErr w:type="spellStart"/>
      <w:r w:rsidRPr="003C7FB5">
        <w:rPr>
          <w:color w:val="212529"/>
        </w:rPr>
        <w:t>випадках</w:t>
      </w:r>
      <w:proofErr w:type="spellEnd"/>
      <w:r w:rsidRPr="003C7FB5">
        <w:rPr>
          <w:color w:val="212529"/>
        </w:rPr>
        <w:t xml:space="preserve"> п. 2.6 </w:t>
      </w:r>
      <w:proofErr w:type="spellStart"/>
      <w:r w:rsidR="001F23D0">
        <w:fldChar w:fldCharType="begin"/>
      </w:r>
      <w:r w:rsidR="001F23D0">
        <w:instrText xml:space="preserve"> HYPERLINK "http://zakon4.rada.gov.ua/laws/show/z0168-95" \t "_blank" </w:instrText>
      </w:r>
      <w:r w:rsidR="001F23D0">
        <w:fldChar w:fldCharType="separate"/>
      </w:r>
      <w:r w:rsidRPr="003C7FB5">
        <w:rPr>
          <w:color w:val="212529"/>
        </w:rPr>
        <w:t>Положення</w:t>
      </w:r>
      <w:proofErr w:type="spellEnd"/>
      <w:r w:rsidRPr="003C7FB5">
        <w:rPr>
          <w:color w:val="212529"/>
        </w:rPr>
        <w:t xml:space="preserve"> № 88</w:t>
      </w:r>
      <w:r w:rsidR="001F23D0">
        <w:rPr>
          <w:color w:val="212529"/>
        </w:rPr>
        <w:fldChar w:fldCharType="end"/>
      </w:r>
      <w:r w:rsidR="00AD0016" w:rsidRPr="003C7FB5">
        <w:rPr>
          <w:color w:val="212529"/>
        </w:rPr>
        <w:t xml:space="preserve"> </w:t>
      </w:r>
      <w:proofErr w:type="spellStart"/>
      <w:r w:rsidRPr="003C7FB5">
        <w:rPr>
          <w:color w:val="212529"/>
        </w:rPr>
        <w:t>дає</w:t>
      </w:r>
      <w:proofErr w:type="spellEnd"/>
      <w:r w:rsidRPr="003C7FB5">
        <w:rPr>
          <w:color w:val="212529"/>
        </w:rPr>
        <w:t xml:space="preserve"> </w:t>
      </w:r>
      <w:proofErr w:type="spellStart"/>
      <w:r w:rsidRPr="003C7FB5">
        <w:rPr>
          <w:color w:val="212529"/>
        </w:rPr>
        <w:t>можливість</w:t>
      </w:r>
      <w:proofErr w:type="spellEnd"/>
      <w:r w:rsidRPr="003C7FB5">
        <w:rPr>
          <w:color w:val="212529"/>
        </w:rPr>
        <w:t xml:space="preserve"> </w:t>
      </w:r>
      <w:proofErr w:type="spellStart"/>
      <w:r w:rsidRPr="003C7FB5">
        <w:rPr>
          <w:color w:val="212529"/>
        </w:rPr>
        <w:t>відобразити</w:t>
      </w:r>
      <w:proofErr w:type="spellEnd"/>
      <w:r w:rsidRPr="003C7FB5">
        <w:rPr>
          <w:color w:val="212529"/>
        </w:rPr>
        <w:t xml:space="preserve"> </w:t>
      </w:r>
      <w:proofErr w:type="spellStart"/>
      <w:r w:rsidRPr="003C7FB5">
        <w:rPr>
          <w:color w:val="212529"/>
        </w:rPr>
        <w:t>госпоперацію</w:t>
      </w:r>
      <w:proofErr w:type="spellEnd"/>
      <w:r w:rsidRPr="003C7FB5">
        <w:rPr>
          <w:color w:val="212529"/>
        </w:rPr>
        <w:t xml:space="preserve"> в </w:t>
      </w:r>
      <w:proofErr w:type="spellStart"/>
      <w:r w:rsidRPr="003C7FB5">
        <w:rPr>
          <w:color w:val="212529"/>
        </w:rPr>
        <w:t>бухобліку</w:t>
      </w:r>
      <w:proofErr w:type="spellEnd"/>
      <w:r w:rsidRPr="003C7FB5">
        <w:rPr>
          <w:color w:val="212529"/>
        </w:rPr>
        <w:t xml:space="preserve"> на </w:t>
      </w:r>
      <w:proofErr w:type="spellStart"/>
      <w:r w:rsidRPr="003C7FB5">
        <w:rPr>
          <w:color w:val="212529"/>
        </w:rPr>
        <w:t>підставі</w:t>
      </w:r>
      <w:proofErr w:type="spellEnd"/>
      <w:r w:rsidRPr="003C7FB5">
        <w:rPr>
          <w:color w:val="212529"/>
        </w:rPr>
        <w:t xml:space="preserve"> </w:t>
      </w:r>
      <w:proofErr w:type="spellStart"/>
      <w:r w:rsidRPr="003C7FB5">
        <w:rPr>
          <w:color w:val="212529"/>
        </w:rPr>
        <w:t>належним</w:t>
      </w:r>
      <w:proofErr w:type="spellEnd"/>
      <w:r w:rsidRPr="003C7FB5">
        <w:rPr>
          <w:color w:val="212529"/>
        </w:rPr>
        <w:t xml:space="preserve"> чином </w:t>
      </w:r>
      <w:proofErr w:type="spellStart"/>
      <w:r w:rsidRPr="003C7FB5">
        <w:rPr>
          <w:color w:val="212529"/>
        </w:rPr>
        <w:t>оформленого</w:t>
      </w:r>
      <w:proofErr w:type="spellEnd"/>
      <w:r w:rsidRPr="003C7FB5">
        <w:rPr>
          <w:color w:val="212529"/>
        </w:rPr>
        <w:t> </w:t>
      </w:r>
      <w:proofErr w:type="spellStart"/>
      <w:r w:rsidRPr="003C7FB5">
        <w:rPr>
          <w:b/>
          <w:bCs/>
          <w:color w:val="212529"/>
          <w:highlight w:val="yellow"/>
        </w:rPr>
        <w:t>внутрішнього</w:t>
      </w:r>
      <w:proofErr w:type="spellEnd"/>
      <w:r w:rsidRPr="003C7FB5">
        <w:rPr>
          <w:b/>
          <w:bCs/>
          <w:color w:val="212529"/>
          <w:highlight w:val="yellow"/>
        </w:rPr>
        <w:t xml:space="preserve"> </w:t>
      </w:r>
      <w:proofErr w:type="spellStart"/>
      <w:r w:rsidRPr="003C7FB5">
        <w:rPr>
          <w:b/>
          <w:bCs/>
          <w:color w:val="212529"/>
          <w:highlight w:val="yellow"/>
        </w:rPr>
        <w:t>первинного</w:t>
      </w:r>
      <w:proofErr w:type="spellEnd"/>
      <w:r w:rsidRPr="003C7FB5">
        <w:rPr>
          <w:b/>
          <w:bCs/>
          <w:color w:val="212529"/>
          <w:highlight w:val="yellow"/>
        </w:rPr>
        <w:t xml:space="preserve"> документа (акта)</w:t>
      </w:r>
      <w:r w:rsidRPr="003C7FB5">
        <w:rPr>
          <w:color w:val="212529"/>
        </w:rPr>
        <w:t xml:space="preserve">, </w:t>
      </w:r>
      <w:proofErr w:type="spellStart"/>
      <w:r w:rsidRPr="003C7FB5">
        <w:rPr>
          <w:color w:val="212529"/>
        </w:rPr>
        <w:t>складеного</w:t>
      </w:r>
      <w:proofErr w:type="spellEnd"/>
      <w:r w:rsidRPr="003C7FB5">
        <w:rPr>
          <w:color w:val="212529"/>
        </w:rPr>
        <w:t xml:space="preserve"> </w:t>
      </w:r>
      <w:proofErr w:type="spellStart"/>
      <w:r w:rsidRPr="003C7FB5">
        <w:rPr>
          <w:color w:val="212529"/>
        </w:rPr>
        <w:t>посадовою</w:t>
      </w:r>
      <w:proofErr w:type="spellEnd"/>
      <w:r w:rsidRPr="003C7FB5">
        <w:rPr>
          <w:color w:val="212529"/>
        </w:rPr>
        <w:t xml:space="preserve"> особою, </w:t>
      </w:r>
      <w:proofErr w:type="spellStart"/>
      <w:r w:rsidRPr="003C7FB5">
        <w:rPr>
          <w:color w:val="212529"/>
        </w:rPr>
        <w:t>відповідальною</w:t>
      </w:r>
      <w:proofErr w:type="spellEnd"/>
      <w:r w:rsidRPr="003C7FB5">
        <w:rPr>
          <w:color w:val="212529"/>
        </w:rPr>
        <w:t xml:space="preserve"> за </w:t>
      </w:r>
      <w:proofErr w:type="spellStart"/>
      <w:r w:rsidRPr="003C7FB5">
        <w:rPr>
          <w:color w:val="212529"/>
        </w:rPr>
        <w:t>приймання-відпуск</w:t>
      </w:r>
      <w:proofErr w:type="spellEnd"/>
      <w:r w:rsidRPr="003C7FB5">
        <w:rPr>
          <w:color w:val="212529"/>
        </w:rPr>
        <w:t xml:space="preserve"> товарно-</w:t>
      </w:r>
      <w:proofErr w:type="spellStart"/>
      <w:r w:rsidRPr="003C7FB5">
        <w:rPr>
          <w:color w:val="212529"/>
        </w:rPr>
        <w:t>матеріальних</w:t>
      </w:r>
      <w:proofErr w:type="spellEnd"/>
      <w:r w:rsidRPr="003C7FB5">
        <w:rPr>
          <w:color w:val="212529"/>
        </w:rPr>
        <w:t xml:space="preserve"> </w:t>
      </w:r>
      <w:proofErr w:type="spellStart"/>
      <w:r w:rsidRPr="003C7FB5">
        <w:rPr>
          <w:color w:val="212529"/>
        </w:rPr>
        <w:t>цінностей</w:t>
      </w:r>
      <w:proofErr w:type="spellEnd"/>
      <w:r w:rsidRPr="003C7FB5">
        <w:rPr>
          <w:color w:val="212529"/>
        </w:rPr>
        <w:t xml:space="preserve">, </w:t>
      </w:r>
      <w:proofErr w:type="spellStart"/>
      <w:r w:rsidRPr="003C7FB5">
        <w:rPr>
          <w:color w:val="212529"/>
        </w:rPr>
        <w:t>робіт</w:t>
      </w:r>
      <w:proofErr w:type="spellEnd"/>
      <w:r w:rsidRPr="003C7FB5">
        <w:rPr>
          <w:color w:val="212529"/>
        </w:rPr>
        <w:t xml:space="preserve"> і </w:t>
      </w:r>
      <w:proofErr w:type="spellStart"/>
      <w:r w:rsidRPr="003C7FB5">
        <w:rPr>
          <w:color w:val="212529"/>
        </w:rPr>
        <w:t>послуг</w:t>
      </w:r>
      <w:proofErr w:type="spellEnd"/>
      <w:r w:rsidRPr="003C7FB5">
        <w:rPr>
          <w:color w:val="212529"/>
        </w:rPr>
        <w:t xml:space="preserve"> (</w:t>
      </w:r>
      <w:proofErr w:type="spellStart"/>
      <w:r w:rsidRPr="003C7FB5">
        <w:rPr>
          <w:color w:val="212529"/>
        </w:rPr>
        <w:t>це</w:t>
      </w:r>
      <w:proofErr w:type="spellEnd"/>
      <w:r w:rsidRPr="003C7FB5">
        <w:rPr>
          <w:color w:val="212529"/>
        </w:rPr>
        <w:t xml:space="preserve">, </w:t>
      </w:r>
      <w:r w:rsidR="00352F8A" w:rsidRPr="003C7FB5">
        <w:rPr>
          <w:color w:val="212529"/>
          <w:lang w:val="uk-UA"/>
        </w:rPr>
        <w:t>звертаю увагу</w:t>
      </w:r>
      <w:r w:rsidRPr="003C7FB5">
        <w:rPr>
          <w:color w:val="212529"/>
        </w:rPr>
        <w:t xml:space="preserve">, </w:t>
      </w:r>
      <w:proofErr w:type="spellStart"/>
      <w:r w:rsidRPr="003C7FB5">
        <w:rPr>
          <w:color w:val="212529"/>
        </w:rPr>
        <w:t>має</w:t>
      </w:r>
      <w:proofErr w:type="spellEnd"/>
      <w:r w:rsidRPr="003C7FB5">
        <w:rPr>
          <w:color w:val="212529"/>
        </w:rPr>
        <w:t xml:space="preserve"> бути </w:t>
      </w:r>
      <w:proofErr w:type="spellStart"/>
      <w:r w:rsidRPr="003C7FB5">
        <w:rPr>
          <w:color w:val="212529"/>
        </w:rPr>
        <w:t>передбачено</w:t>
      </w:r>
      <w:proofErr w:type="spellEnd"/>
      <w:r w:rsidRPr="003C7FB5">
        <w:rPr>
          <w:color w:val="212529"/>
        </w:rPr>
        <w:t xml:space="preserve"> правилами </w:t>
      </w:r>
      <w:proofErr w:type="spellStart"/>
      <w:r w:rsidRPr="003C7FB5">
        <w:rPr>
          <w:color w:val="212529"/>
        </w:rPr>
        <w:t>внутрішнього</w:t>
      </w:r>
      <w:proofErr w:type="spellEnd"/>
      <w:r w:rsidRPr="003C7FB5">
        <w:rPr>
          <w:color w:val="212529"/>
        </w:rPr>
        <w:t xml:space="preserve"> </w:t>
      </w:r>
      <w:proofErr w:type="spellStart"/>
      <w:r w:rsidRPr="003C7FB5">
        <w:rPr>
          <w:color w:val="212529"/>
        </w:rPr>
        <w:t>документообігу</w:t>
      </w:r>
      <w:proofErr w:type="spellEnd"/>
      <w:r w:rsidRPr="003C7FB5">
        <w:rPr>
          <w:color w:val="212529"/>
        </w:rPr>
        <w:t xml:space="preserve">). </w:t>
      </w:r>
      <w:bookmarkStart w:id="2" w:name="n377"/>
      <w:bookmarkEnd w:id="2"/>
    </w:p>
    <w:p w:rsidR="00556A2C" w:rsidRDefault="00556A2C" w:rsidP="003C7FB5">
      <w:pPr>
        <w:pStyle w:val="a4"/>
        <w:spacing w:before="0" w:beforeAutospacing="0" w:after="0" w:afterAutospacing="0"/>
        <w:ind w:firstLine="919"/>
        <w:jc w:val="both"/>
        <w:textAlignment w:val="baseline"/>
        <w:rPr>
          <w:bCs/>
          <w:i/>
          <w:color w:val="212529"/>
        </w:rPr>
      </w:pPr>
    </w:p>
    <w:p w:rsidR="002E12C7" w:rsidRPr="003C7FB5" w:rsidRDefault="00352F8A" w:rsidP="003C7FB5">
      <w:pPr>
        <w:pStyle w:val="a4"/>
        <w:spacing w:before="0" w:beforeAutospacing="0" w:after="0" w:afterAutospacing="0"/>
        <w:ind w:firstLine="919"/>
        <w:jc w:val="both"/>
        <w:textAlignment w:val="baseline"/>
        <w:rPr>
          <w:bCs/>
          <w:i/>
          <w:color w:val="212529"/>
        </w:rPr>
      </w:pPr>
      <w:r w:rsidRPr="003C7FB5">
        <w:rPr>
          <w:bCs/>
          <w:i/>
          <w:color w:val="212529"/>
        </w:rPr>
        <w:lastRenderedPageBreak/>
        <w:t xml:space="preserve">Як </w:t>
      </w:r>
      <w:proofErr w:type="spellStart"/>
      <w:r w:rsidR="002E12C7" w:rsidRPr="003C7FB5">
        <w:rPr>
          <w:bCs/>
          <w:i/>
          <w:color w:val="212529"/>
        </w:rPr>
        <w:t>Мінфін</w:t>
      </w:r>
      <w:proofErr w:type="spellEnd"/>
      <w:r w:rsidR="002E12C7" w:rsidRPr="003C7FB5">
        <w:rPr>
          <w:bCs/>
          <w:i/>
          <w:color w:val="212529"/>
        </w:rPr>
        <w:t xml:space="preserve"> уже </w:t>
      </w:r>
      <w:proofErr w:type="spellStart"/>
      <w:r w:rsidR="002E12C7" w:rsidRPr="003C7FB5">
        <w:rPr>
          <w:bCs/>
          <w:i/>
          <w:iCs/>
          <w:color w:val="212529"/>
        </w:rPr>
        <w:t>зазначав</w:t>
      </w:r>
      <w:proofErr w:type="spellEnd"/>
      <w:r w:rsidRPr="003C7FB5">
        <w:rPr>
          <w:bCs/>
          <w:i/>
          <w:iCs/>
          <w:color w:val="212529"/>
          <w:lang w:val="uk-UA"/>
        </w:rPr>
        <w:t xml:space="preserve"> </w:t>
      </w:r>
      <w:r w:rsidR="002E12C7" w:rsidRPr="003C7FB5">
        <w:rPr>
          <w:bCs/>
          <w:i/>
          <w:color w:val="212529"/>
        </w:rPr>
        <w:t xml:space="preserve">— головне </w:t>
      </w:r>
      <w:proofErr w:type="spellStart"/>
      <w:r w:rsidR="002E12C7" w:rsidRPr="003C7FB5">
        <w:rPr>
          <w:bCs/>
          <w:i/>
          <w:color w:val="212529"/>
        </w:rPr>
        <w:t>слідувати</w:t>
      </w:r>
      <w:proofErr w:type="spellEnd"/>
      <w:r w:rsidR="002E12C7" w:rsidRPr="003C7FB5">
        <w:rPr>
          <w:bCs/>
          <w:i/>
          <w:color w:val="212529"/>
        </w:rPr>
        <w:t xml:space="preserve"> </w:t>
      </w:r>
      <w:proofErr w:type="spellStart"/>
      <w:r w:rsidR="002E12C7" w:rsidRPr="003C7FB5">
        <w:rPr>
          <w:bCs/>
          <w:i/>
          <w:color w:val="212529"/>
        </w:rPr>
        <w:t>приписам</w:t>
      </w:r>
      <w:proofErr w:type="spellEnd"/>
      <w:r w:rsidR="002E12C7" w:rsidRPr="003C7FB5">
        <w:rPr>
          <w:bCs/>
          <w:i/>
          <w:color w:val="212529"/>
        </w:rPr>
        <w:t xml:space="preserve"> </w:t>
      </w:r>
      <w:proofErr w:type="gramStart"/>
      <w:r w:rsidR="002E12C7" w:rsidRPr="003C7FB5">
        <w:rPr>
          <w:bCs/>
          <w:i/>
          <w:color w:val="212529"/>
        </w:rPr>
        <w:t>П(</w:t>
      </w:r>
      <w:proofErr w:type="gramEnd"/>
      <w:r w:rsidR="002E12C7" w:rsidRPr="003C7FB5">
        <w:rPr>
          <w:bCs/>
          <w:i/>
          <w:color w:val="212529"/>
        </w:rPr>
        <w:t>С)БО (</w:t>
      </w:r>
      <w:r w:rsidR="002E12C7" w:rsidRPr="003C7FB5">
        <w:rPr>
          <w:i/>
          <w:iCs/>
          <w:color w:val="212529"/>
        </w:rPr>
        <w:t>див.</w:t>
      </w:r>
      <w:r w:rsidR="002E12C7" w:rsidRPr="003C7FB5">
        <w:rPr>
          <w:bCs/>
          <w:i/>
          <w:color w:val="212529"/>
        </w:rPr>
        <w:t xml:space="preserve"> лист </w:t>
      </w:r>
      <w:proofErr w:type="spellStart"/>
      <w:r w:rsidR="002E12C7" w:rsidRPr="003C7FB5">
        <w:rPr>
          <w:bCs/>
          <w:i/>
          <w:color w:val="212529"/>
        </w:rPr>
        <w:t>Мінфіну</w:t>
      </w:r>
      <w:proofErr w:type="spellEnd"/>
      <w:r w:rsidR="002E12C7" w:rsidRPr="003C7FB5">
        <w:rPr>
          <w:bCs/>
          <w:i/>
          <w:color w:val="212529"/>
        </w:rPr>
        <w:t xml:space="preserve">  </w:t>
      </w:r>
      <w:proofErr w:type="spellStart"/>
      <w:r w:rsidR="002E12C7" w:rsidRPr="003C7FB5">
        <w:rPr>
          <w:bCs/>
          <w:i/>
          <w:color w:val="212529"/>
        </w:rPr>
        <w:t>України</w:t>
      </w:r>
      <w:proofErr w:type="spellEnd"/>
      <w:r w:rsidR="002E12C7" w:rsidRPr="003C7FB5">
        <w:rPr>
          <w:bCs/>
          <w:i/>
          <w:color w:val="212529"/>
        </w:rPr>
        <w:t xml:space="preserve"> </w:t>
      </w:r>
      <w:proofErr w:type="spellStart"/>
      <w:r w:rsidR="002E12C7" w:rsidRPr="003C7FB5">
        <w:rPr>
          <w:bCs/>
          <w:i/>
          <w:color w:val="212529"/>
        </w:rPr>
        <w:t>від</w:t>
      </w:r>
      <w:proofErr w:type="spellEnd"/>
      <w:r w:rsidR="002E12C7" w:rsidRPr="003C7FB5">
        <w:rPr>
          <w:bCs/>
          <w:i/>
          <w:color w:val="212529"/>
        </w:rPr>
        <w:t xml:space="preserve"> 22.04.2016 р. </w:t>
      </w:r>
      <w:hyperlink r:id="rId8" w:tgtFrame="_blank" w:history="1">
        <w:r w:rsidR="002E12C7" w:rsidRPr="003C7FB5">
          <w:rPr>
            <w:bCs/>
            <w:i/>
            <w:color w:val="212529"/>
          </w:rPr>
          <w:t>№ 31-11410-06-5/11705</w:t>
        </w:r>
      </w:hyperlink>
      <w:r w:rsidR="001702E7" w:rsidRPr="003C7FB5">
        <w:rPr>
          <w:bCs/>
          <w:i/>
          <w:color w:val="212529"/>
        </w:rPr>
        <w:t>)</w:t>
      </w:r>
      <w:r w:rsidR="002E12C7" w:rsidRPr="003C7FB5">
        <w:rPr>
          <w:bCs/>
          <w:i/>
          <w:color w:val="212529"/>
        </w:rPr>
        <w:t xml:space="preserve">, </w:t>
      </w:r>
      <w:proofErr w:type="spellStart"/>
      <w:r w:rsidR="002E12C7" w:rsidRPr="003C7FB5">
        <w:rPr>
          <w:bCs/>
          <w:i/>
          <w:color w:val="212529"/>
        </w:rPr>
        <w:t>Тож</w:t>
      </w:r>
      <w:proofErr w:type="spellEnd"/>
      <w:r w:rsidR="002E12C7" w:rsidRPr="003C7FB5">
        <w:rPr>
          <w:bCs/>
          <w:i/>
          <w:color w:val="212529"/>
        </w:rPr>
        <w:t xml:space="preserve"> </w:t>
      </w:r>
      <w:proofErr w:type="spellStart"/>
      <w:r w:rsidR="002E12C7" w:rsidRPr="003C7FB5">
        <w:rPr>
          <w:bCs/>
          <w:i/>
          <w:color w:val="212529"/>
        </w:rPr>
        <w:t>істотно</w:t>
      </w:r>
      <w:proofErr w:type="spellEnd"/>
      <w:r w:rsidR="002E12C7" w:rsidRPr="003C7FB5">
        <w:rPr>
          <w:bCs/>
          <w:i/>
          <w:color w:val="212529"/>
        </w:rPr>
        <w:t xml:space="preserve">, </w:t>
      </w:r>
      <w:proofErr w:type="spellStart"/>
      <w:r w:rsidR="002E12C7" w:rsidRPr="003C7FB5">
        <w:rPr>
          <w:bCs/>
          <w:i/>
          <w:color w:val="212529"/>
        </w:rPr>
        <w:t>аби</w:t>
      </w:r>
      <w:proofErr w:type="spellEnd"/>
      <w:r w:rsidR="002E12C7" w:rsidRPr="003C7FB5">
        <w:rPr>
          <w:bCs/>
          <w:i/>
          <w:color w:val="212529"/>
        </w:rPr>
        <w:t xml:space="preserve"> не </w:t>
      </w:r>
      <w:proofErr w:type="spellStart"/>
      <w:r w:rsidR="002E12C7" w:rsidRPr="003C7FB5">
        <w:rPr>
          <w:bCs/>
          <w:i/>
          <w:color w:val="212529"/>
        </w:rPr>
        <w:t>було</w:t>
      </w:r>
      <w:proofErr w:type="spellEnd"/>
      <w:r w:rsidR="002E12C7" w:rsidRPr="003C7FB5">
        <w:rPr>
          <w:bCs/>
          <w:i/>
          <w:color w:val="212529"/>
        </w:rPr>
        <w:t xml:space="preserve"> порушено принцип </w:t>
      </w:r>
      <w:proofErr w:type="spellStart"/>
      <w:r w:rsidR="002E12C7" w:rsidRPr="003C7FB5">
        <w:rPr>
          <w:bCs/>
          <w:i/>
          <w:color w:val="212529"/>
        </w:rPr>
        <w:t>відповідності</w:t>
      </w:r>
      <w:proofErr w:type="spellEnd"/>
      <w:r w:rsidR="002E12C7" w:rsidRPr="003C7FB5">
        <w:rPr>
          <w:bCs/>
          <w:i/>
          <w:color w:val="212529"/>
        </w:rPr>
        <w:t xml:space="preserve"> </w:t>
      </w:r>
      <w:proofErr w:type="spellStart"/>
      <w:r w:rsidR="002E12C7" w:rsidRPr="003C7FB5">
        <w:rPr>
          <w:bCs/>
          <w:i/>
          <w:color w:val="212529"/>
        </w:rPr>
        <w:t>доходів</w:t>
      </w:r>
      <w:proofErr w:type="spellEnd"/>
      <w:r w:rsidR="002E12C7" w:rsidRPr="003C7FB5">
        <w:rPr>
          <w:bCs/>
          <w:i/>
          <w:color w:val="212529"/>
        </w:rPr>
        <w:t xml:space="preserve"> і </w:t>
      </w:r>
      <w:proofErr w:type="spellStart"/>
      <w:r w:rsidR="002E12C7" w:rsidRPr="003C7FB5">
        <w:rPr>
          <w:bCs/>
          <w:i/>
          <w:color w:val="212529"/>
        </w:rPr>
        <w:t>витрат</w:t>
      </w:r>
      <w:proofErr w:type="spellEnd"/>
      <w:r w:rsidR="002E12C7" w:rsidRPr="003C7FB5">
        <w:rPr>
          <w:bCs/>
          <w:i/>
          <w:color w:val="212529"/>
        </w:rPr>
        <w:t xml:space="preserve"> у </w:t>
      </w:r>
      <w:proofErr w:type="spellStart"/>
      <w:r w:rsidR="002E12C7" w:rsidRPr="003C7FB5">
        <w:rPr>
          <w:bCs/>
          <w:i/>
          <w:color w:val="212529"/>
        </w:rPr>
        <w:t>бухобліку</w:t>
      </w:r>
      <w:proofErr w:type="spellEnd"/>
      <w:r w:rsidR="002E12C7" w:rsidRPr="003C7FB5">
        <w:rPr>
          <w:bCs/>
          <w:i/>
          <w:color w:val="212529"/>
        </w:rPr>
        <w:t>.</w:t>
      </w:r>
    </w:p>
    <w:p w:rsidR="00352F8A" w:rsidRPr="003C7FB5" w:rsidRDefault="002E12C7" w:rsidP="003C7FB5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Тобто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 для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бухгалтерського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обліку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важливо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,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аби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були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коректно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 та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своєчасно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відображені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 доходи,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витрати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,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виникнення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зобов’язань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тощо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. А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також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,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щоб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такі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показники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підтверджувалися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 правильно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складеним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первинним</w:t>
      </w:r>
      <w:proofErr w:type="spellEnd"/>
      <w:r w:rsidRPr="003C7FB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 xml:space="preserve"> документом.</w:t>
      </w:r>
      <w:r w:rsidR="00352F8A" w:rsidRPr="003C7FB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</w:t>
      </w:r>
    </w:p>
    <w:p w:rsidR="00556A2C" w:rsidRDefault="00556A2C" w:rsidP="003C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val="uk-UA"/>
        </w:rPr>
      </w:pPr>
    </w:p>
    <w:p w:rsidR="00556A2C" w:rsidRDefault="00463B47" w:rsidP="00556A2C">
      <w:pPr>
        <w:spacing w:after="0" w:line="240" w:lineRule="auto"/>
        <w:ind w:firstLine="91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Як вбачається із вищезазначеного,</w:t>
      </w:r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3C7FB5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дата складання первинного документа може не впливати на фінансову звітність підприємства</w:t>
      </w:r>
      <w:r w:rsid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за певний звітний період</w:t>
      </w:r>
      <w:r w:rsidR="003C7FB5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, оскільки </w:t>
      </w:r>
      <w:r w:rsid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законодавець дає можливість </w:t>
      </w:r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для контролю та </w:t>
      </w:r>
      <w:proofErr w:type="spellStart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впорядкування</w:t>
      </w:r>
      <w:proofErr w:type="spellEnd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обробки</w:t>
      </w:r>
      <w:proofErr w:type="spellEnd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інформації</w:t>
      </w:r>
      <w:proofErr w:type="spellEnd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основі</w:t>
      </w:r>
      <w:proofErr w:type="spellEnd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первинних</w:t>
      </w:r>
      <w:proofErr w:type="spellEnd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документів</w:t>
      </w:r>
      <w:proofErr w:type="spellEnd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можуть</w:t>
      </w:r>
      <w:proofErr w:type="spellEnd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складатися</w:t>
      </w:r>
      <w:proofErr w:type="spellEnd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зведені</w:t>
      </w:r>
      <w:proofErr w:type="spellEnd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документи</w:t>
      </w:r>
      <w:proofErr w:type="spellEnd"/>
      <w:r w:rsidR="00A9427E" w:rsidRPr="00556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або ж </w:t>
      </w:r>
      <w:proofErr w:type="spellStart"/>
      <w:r w:rsidR="00A9427E" w:rsidRPr="00556A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відобразити</w:t>
      </w:r>
      <w:proofErr w:type="spellEnd"/>
      <w:r w:rsidR="00A9427E" w:rsidRPr="00556A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proofErr w:type="spellStart"/>
      <w:r w:rsidR="00A9427E" w:rsidRPr="00556A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госпоперацію</w:t>
      </w:r>
      <w:proofErr w:type="spellEnd"/>
      <w:r w:rsidR="00A9427E" w:rsidRPr="00556A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в </w:t>
      </w:r>
      <w:proofErr w:type="spellStart"/>
      <w:r w:rsidR="00A9427E" w:rsidRPr="00556A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бухобліку</w:t>
      </w:r>
      <w:proofErr w:type="spellEnd"/>
      <w:r w:rsidR="00A9427E" w:rsidRPr="00556A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A9427E" w:rsidRPr="00556A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 w:eastAsia="ru-RU"/>
        </w:rPr>
        <w:t xml:space="preserve">можна </w:t>
      </w:r>
      <w:r w:rsidR="00A9427E" w:rsidRPr="00556A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на </w:t>
      </w:r>
      <w:proofErr w:type="spellStart"/>
      <w:r w:rsidR="00A9427E" w:rsidRPr="00556A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підставі</w:t>
      </w:r>
      <w:proofErr w:type="spellEnd"/>
      <w:r w:rsidR="00A9427E" w:rsidRPr="00556A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proofErr w:type="spellStart"/>
      <w:r w:rsidR="00A9427E" w:rsidRPr="00556A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належним</w:t>
      </w:r>
      <w:proofErr w:type="spellEnd"/>
      <w:r w:rsidR="00A9427E" w:rsidRPr="00556A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чином </w:t>
      </w:r>
      <w:proofErr w:type="spellStart"/>
      <w:r w:rsidR="00A9427E" w:rsidRPr="00556A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оформленого</w:t>
      </w:r>
      <w:proofErr w:type="spellEnd"/>
      <w:r w:rsidR="00A9427E" w:rsidRPr="00556A2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 </w:t>
      </w:r>
      <w:proofErr w:type="spellStart"/>
      <w:r w:rsidR="00A9427E" w:rsidRPr="00556A2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внутрішнього</w:t>
      </w:r>
      <w:proofErr w:type="spellEnd"/>
      <w:r w:rsidR="00A9427E" w:rsidRPr="00556A2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="00A9427E" w:rsidRPr="00556A2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первинного</w:t>
      </w:r>
      <w:proofErr w:type="spellEnd"/>
      <w:r w:rsidR="00A9427E" w:rsidRPr="00556A2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документа (акта)</w:t>
      </w:r>
      <w:r w:rsidR="00A9427E" w:rsidRPr="00556A2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uk-UA" w:eastAsia="ru-RU"/>
        </w:rPr>
        <w:t>.</w:t>
      </w:r>
      <w:r w:rsidR="00556A2C" w:rsidRPr="00556A2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5B6501" w:rsidRPr="003C7FB5" w:rsidRDefault="005B6501" w:rsidP="00556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D1406F" w:rsidRPr="003C7FB5" w:rsidRDefault="00D1406F" w:rsidP="003C7FB5">
      <w:pPr>
        <w:pStyle w:val="article----------articletext"/>
        <w:shd w:val="clear" w:color="auto" w:fill="FFFFFF"/>
        <w:spacing w:before="0" w:beforeAutospacing="0" w:after="0" w:afterAutospacing="0"/>
        <w:ind w:firstLine="919"/>
        <w:jc w:val="both"/>
        <w:rPr>
          <w:color w:val="000000"/>
          <w:lang w:val="uk-UA"/>
        </w:rPr>
      </w:pPr>
      <w:proofErr w:type="spellStart"/>
      <w:r w:rsidRPr="003C7FB5">
        <w:rPr>
          <w:color w:val="333333"/>
          <w:lang w:val="uk-UA"/>
        </w:rPr>
        <w:t>Накінець</w:t>
      </w:r>
      <w:proofErr w:type="spellEnd"/>
      <w:r w:rsidRPr="003C7FB5">
        <w:rPr>
          <w:color w:val="333333"/>
          <w:lang w:val="uk-UA"/>
        </w:rPr>
        <w:t xml:space="preserve"> хочу зазначити щодо </w:t>
      </w:r>
      <w:proofErr w:type="spellStart"/>
      <w:r w:rsidRPr="003C7FB5">
        <w:rPr>
          <w:color w:val="000000"/>
        </w:rPr>
        <w:t>електронної</w:t>
      </w:r>
      <w:proofErr w:type="spellEnd"/>
      <w:r w:rsidRPr="003C7FB5">
        <w:rPr>
          <w:color w:val="000000"/>
        </w:rPr>
        <w:t xml:space="preserve"> </w:t>
      </w:r>
      <w:proofErr w:type="spellStart"/>
      <w:r w:rsidRPr="003C7FB5">
        <w:rPr>
          <w:color w:val="000000"/>
        </w:rPr>
        <w:t>позначки</w:t>
      </w:r>
      <w:proofErr w:type="spellEnd"/>
      <w:r w:rsidRPr="003C7FB5">
        <w:rPr>
          <w:color w:val="000000"/>
        </w:rPr>
        <w:t xml:space="preserve"> часу</w:t>
      </w:r>
      <w:r w:rsidRPr="003C7FB5">
        <w:rPr>
          <w:color w:val="000000"/>
          <w:lang w:val="uk-UA"/>
        </w:rPr>
        <w:t xml:space="preserve"> при накладенні ЕЦП на електронних документах.</w:t>
      </w:r>
    </w:p>
    <w:p w:rsidR="00D1406F" w:rsidRPr="001F23D0" w:rsidRDefault="00D1406F" w:rsidP="003C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1F23D0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Відповідно до частини 2 статті 23 Закону України «Про електронні довірчі послуги»</w:t>
      </w:r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(далі – Закон №45)</w:t>
      </w:r>
      <w:r w:rsidRPr="001F23D0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серед атрибутів або відомостей, що обов`язково повинен містити кваліфікований сертифікат відкритого ключа відсутня кваліфікована електронна позначка часу.</w:t>
      </w:r>
    </w:p>
    <w:p w:rsidR="00D1406F" w:rsidRPr="003C7FB5" w:rsidRDefault="00D1406F" w:rsidP="003C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Відповідно до ч. 4 ст. 26 </w:t>
      </w:r>
      <w:bookmarkStart w:id="3" w:name="n368"/>
      <w:bookmarkEnd w:id="3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Закону 45 к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валіфікована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електронна</w:t>
      </w:r>
      <w:proofErr w:type="spellEnd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позначка</w:t>
      </w:r>
      <w:proofErr w:type="spellEnd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 часу повинна </w:t>
      </w:r>
      <w:proofErr w:type="spellStart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забезпечувати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D1406F" w:rsidRPr="003C7FB5" w:rsidRDefault="00D1406F" w:rsidP="003C7FB5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" w:name="n373"/>
      <w:bookmarkEnd w:id="4"/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зв’язок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і часу з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електронними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даними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такий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спосіб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що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цілком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виключає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можливість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непомітної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зміни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електронних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даних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  <w:bookmarkStart w:id="5" w:name="n374"/>
      <w:bookmarkEnd w:id="5"/>
    </w:p>
    <w:p w:rsidR="00D1406F" w:rsidRPr="003C7FB5" w:rsidRDefault="00D1406F" w:rsidP="003C7FB5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точність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часу в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програмно-технічному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комплексі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кваліфікованого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надавача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електронних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довірчих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послуг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що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синхронізується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із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Всесвітнім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координованим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часом (UTC) з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точністю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секунди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1406F" w:rsidRPr="001F23D0" w:rsidRDefault="00D1406F" w:rsidP="003C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bookmarkStart w:id="6" w:name="n375"/>
      <w:bookmarkEnd w:id="6"/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Частиною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4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статті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26 </w:t>
      </w:r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Закону №45</w:t>
      </w:r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передбачено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обов`язковість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використання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кваліфікованої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електронної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позначки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часу </w:t>
      </w:r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для </w:t>
      </w:r>
      <w:proofErr w:type="spellStart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постійного</w:t>
      </w:r>
      <w:proofErr w:type="spellEnd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зберігання</w:t>
      </w:r>
      <w:proofErr w:type="spellEnd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електронних</w:t>
      </w:r>
      <w:proofErr w:type="spellEnd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даних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Але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відсутність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кваліфікованої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електронної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позначки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часу не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перешкоджає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використовувати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електронні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відповідно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частини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5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статті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23 Закону не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надає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підстав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визнання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правочинів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недійсними</w:t>
      </w:r>
      <w:proofErr w:type="spellEnd"/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3C7FB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r w:rsidRPr="001F23D0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Оскільки правочин, вчинений в електронній формі, може бути визнаний судом недійсним у разі, коли під час його вчинення використовувався кваліфікований електронний підпис чи печатка, кваліфікований сертифікат якого/якої не містить відомостей, передбачених частиною другою цієї статті, або містить недостовірні відомості.</w:t>
      </w:r>
    </w:p>
    <w:p w:rsidR="00673A9B" w:rsidRPr="001F23D0" w:rsidRDefault="00673A9B" w:rsidP="003C7FB5">
      <w:pPr>
        <w:pStyle w:val="rvps2"/>
        <w:shd w:val="clear" w:color="auto" w:fill="FFFFFF"/>
        <w:spacing w:before="0" w:beforeAutospacing="0" w:after="0" w:afterAutospacing="0"/>
        <w:ind w:firstLine="919"/>
        <w:jc w:val="both"/>
        <w:rPr>
          <w:rStyle w:val="rvts9"/>
          <w:b/>
          <w:bCs/>
          <w:color w:val="000000"/>
          <w:lang w:val="uk-UA"/>
        </w:rPr>
      </w:pPr>
    </w:p>
    <w:p w:rsidR="00556A2C" w:rsidRPr="001F23D0" w:rsidRDefault="00556A2C" w:rsidP="003C7FB5">
      <w:pPr>
        <w:pStyle w:val="rvps2"/>
        <w:shd w:val="clear" w:color="auto" w:fill="FFFFFF"/>
        <w:spacing w:before="0" w:beforeAutospacing="0" w:after="0" w:afterAutospacing="0"/>
        <w:ind w:firstLine="919"/>
        <w:jc w:val="both"/>
        <w:rPr>
          <w:rStyle w:val="rvts9"/>
          <w:b/>
          <w:bCs/>
          <w:color w:val="000000"/>
          <w:lang w:val="uk-UA"/>
        </w:rPr>
      </w:pPr>
    </w:p>
    <w:p w:rsidR="009C1792" w:rsidRPr="00556A2C" w:rsidRDefault="00556A2C" w:rsidP="00556A2C">
      <w:pPr>
        <w:pStyle w:val="rvps2"/>
        <w:shd w:val="clear" w:color="auto" w:fill="FFFFFF"/>
        <w:spacing w:before="0" w:beforeAutospacing="0" w:after="0" w:afterAutospacing="0"/>
        <w:ind w:firstLine="919"/>
        <w:jc w:val="both"/>
        <w:rPr>
          <w:b/>
          <w:bCs/>
          <w:color w:val="000000"/>
          <w:lang w:val="uk-UA"/>
        </w:rPr>
      </w:pPr>
      <w:r>
        <w:rPr>
          <w:rStyle w:val="rvts9"/>
          <w:b/>
          <w:bCs/>
          <w:color w:val="000000"/>
          <w:lang w:val="uk-UA"/>
        </w:rPr>
        <w:t xml:space="preserve">На жалі, питання </w:t>
      </w:r>
      <w:r w:rsidR="00EC3437">
        <w:rPr>
          <w:rStyle w:val="rvts9"/>
          <w:b/>
          <w:bCs/>
          <w:color w:val="000000"/>
          <w:lang w:val="uk-UA"/>
        </w:rPr>
        <w:t xml:space="preserve">про </w:t>
      </w:r>
      <w:r>
        <w:rPr>
          <w:rStyle w:val="rvts9"/>
          <w:b/>
          <w:bCs/>
          <w:color w:val="000000"/>
          <w:lang w:val="uk-UA"/>
        </w:rPr>
        <w:t xml:space="preserve">визначення дати </w:t>
      </w:r>
      <w:proofErr w:type="spellStart"/>
      <w:r>
        <w:rPr>
          <w:rStyle w:val="rvts9"/>
          <w:b/>
          <w:bCs/>
          <w:color w:val="000000"/>
          <w:lang w:val="uk-UA"/>
        </w:rPr>
        <w:t>скаладання</w:t>
      </w:r>
      <w:proofErr w:type="spellEnd"/>
      <w:r>
        <w:rPr>
          <w:rStyle w:val="rvts9"/>
          <w:b/>
          <w:bCs/>
          <w:color w:val="000000"/>
          <w:lang w:val="uk-UA"/>
        </w:rPr>
        <w:t xml:space="preserve"> електронного документа чітко не ві</w:t>
      </w:r>
      <w:r w:rsidR="00EC3437">
        <w:rPr>
          <w:rStyle w:val="rvts9"/>
          <w:b/>
          <w:bCs/>
          <w:color w:val="000000"/>
          <w:lang w:val="uk-UA"/>
        </w:rPr>
        <w:t>дображається у судовій практиці, тому з цим питанням необхідно звертатися до профільного органу.</w:t>
      </w:r>
    </w:p>
    <w:sectPr w:rsidR="009C1792" w:rsidRPr="0055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7FCE"/>
    <w:multiLevelType w:val="hybridMultilevel"/>
    <w:tmpl w:val="D1123434"/>
    <w:lvl w:ilvl="0" w:tplc="63FE83A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FB"/>
    <w:rsid w:val="0005142D"/>
    <w:rsid w:val="000C147F"/>
    <w:rsid w:val="000D1351"/>
    <w:rsid w:val="001702E7"/>
    <w:rsid w:val="001F23D0"/>
    <w:rsid w:val="0029350B"/>
    <w:rsid w:val="002C79D8"/>
    <w:rsid w:val="002D6963"/>
    <w:rsid w:val="002E12C7"/>
    <w:rsid w:val="00352F8A"/>
    <w:rsid w:val="003C7FB5"/>
    <w:rsid w:val="00463B47"/>
    <w:rsid w:val="00551D23"/>
    <w:rsid w:val="00556A2C"/>
    <w:rsid w:val="00594564"/>
    <w:rsid w:val="005B6501"/>
    <w:rsid w:val="005D0E6D"/>
    <w:rsid w:val="006316DA"/>
    <w:rsid w:val="00673A9B"/>
    <w:rsid w:val="00697C9A"/>
    <w:rsid w:val="006F6B64"/>
    <w:rsid w:val="00797ED6"/>
    <w:rsid w:val="008D37D1"/>
    <w:rsid w:val="00926C23"/>
    <w:rsid w:val="009C1792"/>
    <w:rsid w:val="00A01AFB"/>
    <w:rsid w:val="00A257A1"/>
    <w:rsid w:val="00A9427E"/>
    <w:rsid w:val="00AC672B"/>
    <w:rsid w:val="00AD0016"/>
    <w:rsid w:val="00B00B8B"/>
    <w:rsid w:val="00BA0BD6"/>
    <w:rsid w:val="00BC48FA"/>
    <w:rsid w:val="00BD2C2B"/>
    <w:rsid w:val="00D01B1B"/>
    <w:rsid w:val="00D1406F"/>
    <w:rsid w:val="00D82993"/>
    <w:rsid w:val="00DA0D5D"/>
    <w:rsid w:val="00DC5B3F"/>
    <w:rsid w:val="00DF5EAA"/>
    <w:rsid w:val="00E7109E"/>
    <w:rsid w:val="00EC3437"/>
    <w:rsid w:val="00EF4B1F"/>
    <w:rsid w:val="00F0458B"/>
    <w:rsid w:val="00F405AB"/>
    <w:rsid w:val="00F70EA9"/>
    <w:rsid w:val="00F723BE"/>
    <w:rsid w:val="00F91FEE"/>
    <w:rsid w:val="00FA4F1D"/>
    <w:rsid w:val="00F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B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05AB"/>
    <w:rPr>
      <w:b/>
      <w:bCs/>
    </w:rPr>
  </w:style>
  <w:style w:type="paragraph" w:customStyle="1" w:styleId="rvps2">
    <w:name w:val="rvps2"/>
    <w:basedOn w:val="a"/>
    <w:rsid w:val="000D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D1351"/>
  </w:style>
  <w:style w:type="character" w:customStyle="1" w:styleId="20">
    <w:name w:val="Заголовок 2 Знак"/>
    <w:basedOn w:val="a0"/>
    <w:link w:val="2"/>
    <w:uiPriority w:val="9"/>
    <w:rsid w:val="000D1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---------articletext">
    <w:name w:val="article----------articletext"/>
    <w:basedOn w:val="a"/>
    <w:rsid w:val="000D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italic">
    <w:name w:val="bolditalic"/>
    <w:basedOn w:val="a0"/>
    <w:rsid w:val="000D1351"/>
  </w:style>
  <w:style w:type="paragraph" w:styleId="HTML">
    <w:name w:val="HTML Preformatted"/>
    <w:basedOn w:val="a"/>
    <w:link w:val="HTML0"/>
    <w:uiPriority w:val="99"/>
    <w:semiHidden/>
    <w:unhideWhenUsed/>
    <w:rsid w:val="009C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17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-info">
    <w:name w:val="text-info"/>
    <w:basedOn w:val="a0"/>
    <w:rsid w:val="009C1792"/>
  </w:style>
  <w:style w:type="paragraph" w:customStyle="1" w:styleId="rvps14">
    <w:name w:val="rvps14"/>
    <w:basedOn w:val="a"/>
    <w:rsid w:val="00D8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D8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82993"/>
  </w:style>
  <w:style w:type="paragraph" w:styleId="a6">
    <w:name w:val="List Paragraph"/>
    <w:basedOn w:val="a"/>
    <w:uiPriority w:val="34"/>
    <w:qFormat/>
    <w:rsid w:val="00BD2C2B"/>
    <w:pPr>
      <w:ind w:left="720"/>
      <w:contextualSpacing/>
    </w:pPr>
  </w:style>
  <w:style w:type="character" w:styleId="a7">
    <w:name w:val="Emphasis"/>
    <w:basedOn w:val="a0"/>
    <w:uiPriority w:val="20"/>
    <w:qFormat/>
    <w:rsid w:val="002E12C7"/>
    <w:rPr>
      <w:i/>
      <w:iCs/>
    </w:rPr>
  </w:style>
  <w:style w:type="paragraph" w:customStyle="1" w:styleId="subtitle">
    <w:name w:val="sub_title"/>
    <w:basedOn w:val="a"/>
    <w:rsid w:val="00EF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B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05AB"/>
    <w:rPr>
      <w:b/>
      <w:bCs/>
    </w:rPr>
  </w:style>
  <w:style w:type="paragraph" w:customStyle="1" w:styleId="rvps2">
    <w:name w:val="rvps2"/>
    <w:basedOn w:val="a"/>
    <w:rsid w:val="000D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D1351"/>
  </w:style>
  <w:style w:type="character" w:customStyle="1" w:styleId="20">
    <w:name w:val="Заголовок 2 Знак"/>
    <w:basedOn w:val="a0"/>
    <w:link w:val="2"/>
    <w:uiPriority w:val="9"/>
    <w:rsid w:val="000D1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---------articletext">
    <w:name w:val="article----------articletext"/>
    <w:basedOn w:val="a"/>
    <w:rsid w:val="000D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italic">
    <w:name w:val="bolditalic"/>
    <w:basedOn w:val="a0"/>
    <w:rsid w:val="000D1351"/>
  </w:style>
  <w:style w:type="paragraph" w:styleId="HTML">
    <w:name w:val="HTML Preformatted"/>
    <w:basedOn w:val="a"/>
    <w:link w:val="HTML0"/>
    <w:uiPriority w:val="99"/>
    <w:semiHidden/>
    <w:unhideWhenUsed/>
    <w:rsid w:val="009C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17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-info">
    <w:name w:val="text-info"/>
    <w:basedOn w:val="a0"/>
    <w:rsid w:val="009C1792"/>
  </w:style>
  <w:style w:type="paragraph" w:customStyle="1" w:styleId="rvps14">
    <w:name w:val="rvps14"/>
    <w:basedOn w:val="a"/>
    <w:rsid w:val="00D8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D8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82993"/>
  </w:style>
  <w:style w:type="paragraph" w:styleId="a6">
    <w:name w:val="List Paragraph"/>
    <w:basedOn w:val="a"/>
    <w:uiPriority w:val="34"/>
    <w:qFormat/>
    <w:rsid w:val="00BD2C2B"/>
    <w:pPr>
      <w:ind w:left="720"/>
      <w:contextualSpacing/>
    </w:pPr>
  </w:style>
  <w:style w:type="character" w:styleId="a7">
    <w:name w:val="Emphasis"/>
    <w:basedOn w:val="a0"/>
    <w:uiPriority w:val="20"/>
    <w:qFormat/>
    <w:rsid w:val="002E12C7"/>
    <w:rPr>
      <w:i/>
      <w:iCs/>
    </w:rPr>
  </w:style>
  <w:style w:type="paragraph" w:customStyle="1" w:styleId="subtitle">
    <w:name w:val="sub_title"/>
    <w:basedOn w:val="a"/>
    <w:rsid w:val="00EF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0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buh.com.ua/ua/documents/oneregulations/961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4.rada.gov.ua/laws/show/996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996-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Якубовская Марьяна Ярославовна</dc:creator>
  <cp:keywords/>
  <dc:description/>
  <cp:lastModifiedBy>Пользователь</cp:lastModifiedBy>
  <cp:revision>20</cp:revision>
  <dcterms:created xsi:type="dcterms:W3CDTF">2019-07-23T13:17:00Z</dcterms:created>
  <dcterms:modified xsi:type="dcterms:W3CDTF">2020-04-09T13:38:00Z</dcterms:modified>
</cp:coreProperties>
</file>