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DC" w:rsidRDefault="00015803" w:rsidP="00015803">
      <w:pPr>
        <w:rPr>
          <w:rFonts w:ascii="Arial" w:hAnsi="Arial" w:cs="Arial"/>
          <w:b/>
          <w:sz w:val="20"/>
          <w:szCs w:val="20"/>
        </w:rPr>
      </w:pPr>
      <w:r w:rsidRPr="00774B05">
        <w:rPr>
          <w:rFonts w:ascii="Arial" w:hAnsi="Arial" w:cs="Arial"/>
          <w:b/>
          <w:sz w:val="20"/>
          <w:szCs w:val="20"/>
        </w:rPr>
        <w:t xml:space="preserve">Фамилия переводчика </w:t>
      </w:r>
      <w:proofErr w:type="spellStart"/>
      <w:r w:rsidR="00C442DC">
        <w:rPr>
          <w:rFonts w:ascii="Arial" w:hAnsi="Arial" w:cs="Arial"/>
          <w:b/>
          <w:sz w:val="20"/>
          <w:szCs w:val="20"/>
        </w:rPr>
        <w:t>Теплюк</w:t>
      </w:r>
      <w:proofErr w:type="spellEnd"/>
    </w:p>
    <w:p w:rsidR="00015803" w:rsidRPr="00774B05" w:rsidRDefault="00015803" w:rsidP="0001580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Направление перевода: Английский</w:t>
      </w:r>
      <w:proofErr w:type="gramStart"/>
      <w:r>
        <w:rPr>
          <w:rFonts w:ascii="Arial" w:hAnsi="Arial" w:cs="Arial"/>
          <w:b/>
          <w:sz w:val="20"/>
          <w:szCs w:val="20"/>
        </w:rPr>
        <w:t>-</w:t>
      </w:r>
      <w:r w:rsidRPr="00774B05">
        <w:rPr>
          <w:rFonts w:ascii="Arial" w:hAnsi="Arial" w:cs="Arial"/>
          <w:b/>
          <w:sz w:val="20"/>
          <w:szCs w:val="20"/>
        </w:rPr>
        <w:t>&gt;</w:t>
      </w:r>
      <w:r>
        <w:rPr>
          <w:rFonts w:ascii="Arial" w:hAnsi="Arial" w:cs="Arial"/>
          <w:b/>
          <w:sz w:val="20"/>
          <w:szCs w:val="20"/>
        </w:rPr>
        <w:t>Русский</w:t>
      </w:r>
      <w:proofErr w:type="gramEnd"/>
    </w:p>
    <w:p w:rsidR="00015803" w:rsidRPr="00774B05" w:rsidRDefault="00015803" w:rsidP="00015803">
      <w:pPr>
        <w:rPr>
          <w:rStyle w:val="a5"/>
          <w:rFonts w:ascii="Arial" w:hAnsi="Arial" w:cs="Arial"/>
          <w:bCs/>
          <w:i/>
          <w:sz w:val="20"/>
          <w:szCs w:val="20"/>
        </w:rPr>
      </w:pPr>
      <w:r w:rsidRPr="00774B05">
        <w:rPr>
          <w:rFonts w:ascii="Arial" w:hAnsi="Arial" w:cs="Arial"/>
          <w:b/>
          <w:sz w:val="20"/>
          <w:szCs w:val="20"/>
        </w:rPr>
        <w:t>Предметная область:</w:t>
      </w:r>
      <w:r w:rsidRPr="00774B05">
        <w:rPr>
          <w:rStyle w:val="a5"/>
          <w:rFonts w:ascii="Arial" w:hAnsi="Arial" w:cs="Arial"/>
          <w:bCs/>
          <w:i/>
          <w:sz w:val="20"/>
          <w:szCs w:val="20"/>
        </w:rPr>
        <w:t xml:space="preserve"> </w:t>
      </w:r>
      <w:r>
        <w:rPr>
          <w:rStyle w:val="a5"/>
          <w:rFonts w:ascii="Arial" w:hAnsi="Arial" w:cs="Arial"/>
          <w:bCs/>
          <w:i/>
          <w:sz w:val="20"/>
          <w:szCs w:val="20"/>
        </w:rPr>
        <w:t>Техника</w:t>
      </w:r>
    </w:p>
    <w:p w:rsidR="00015803" w:rsidRPr="00774B05" w:rsidRDefault="00015803" w:rsidP="00015803">
      <w:pPr>
        <w:rPr>
          <w:rFonts w:ascii="Arial" w:hAnsi="Arial" w:cs="Arial"/>
          <w:sz w:val="20"/>
          <w:szCs w:val="20"/>
        </w:rPr>
      </w:pPr>
      <w:r w:rsidRPr="00774B05">
        <w:rPr>
          <w:rFonts w:ascii="Arial" w:hAnsi="Arial" w:cs="Arial"/>
          <w:b/>
          <w:i/>
          <w:sz w:val="20"/>
          <w:szCs w:val="20"/>
        </w:rPr>
        <w:t>Примечание 1:</w:t>
      </w:r>
      <w:r w:rsidRPr="00774B05">
        <w:rPr>
          <w:rFonts w:ascii="Arial" w:hAnsi="Arial" w:cs="Arial"/>
          <w:i/>
          <w:sz w:val="20"/>
          <w:szCs w:val="20"/>
        </w:rPr>
        <w:t xml:space="preserve"> Необходимо сделать перевод приведенного ниже фрагмента текста</w:t>
      </w:r>
    </w:p>
    <w:p w:rsidR="00015803" w:rsidRPr="00774B05" w:rsidRDefault="00015803" w:rsidP="00015803">
      <w:pPr>
        <w:rPr>
          <w:rFonts w:ascii="Arial" w:hAnsi="Arial" w:cs="Arial"/>
          <w:snapToGrid w:val="0"/>
          <w:sz w:val="20"/>
          <w:szCs w:val="20"/>
        </w:rPr>
      </w:pPr>
      <w:r w:rsidRPr="00774B05">
        <w:rPr>
          <w:rFonts w:ascii="Arial" w:hAnsi="Arial" w:cs="Arial"/>
          <w:b/>
          <w:i/>
          <w:sz w:val="20"/>
          <w:szCs w:val="20"/>
        </w:rPr>
        <w:t>Примечание 2:</w:t>
      </w:r>
      <w:r w:rsidRPr="00774B05">
        <w:rPr>
          <w:rFonts w:ascii="Arial" w:hAnsi="Arial" w:cs="Arial"/>
          <w:i/>
          <w:sz w:val="20"/>
          <w:szCs w:val="20"/>
        </w:rPr>
        <w:t xml:space="preserve"> Перевод текста размещается </w:t>
      </w:r>
      <w:r w:rsidRPr="00774B05">
        <w:rPr>
          <w:rFonts w:ascii="Arial" w:hAnsi="Arial" w:cs="Arial"/>
          <w:i/>
          <w:snapToGrid w:val="0"/>
          <w:sz w:val="20"/>
          <w:szCs w:val="20"/>
        </w:rPr>
        <w:t>в соответствующий столбец</w:t>
      </w:r>
      <w:r w:rsidRPr="00774B05">
        <w:rPr>
          <w:rFonts w:ascii="Arial" w:hAnsi="Arial" w:cs="Arial"/>
          <w:snapToGrid w:val="0"/>
          <w:sz w:val="20"/>
          <w:szCs w:val="20"/>
        </w:rPr>
        <w:t>.</w:t>
      </w:r>
    </w:p>
    <w:p w:rsidR="00015803" w:rsidRDefault="0001580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5F4665" w:rsidTr="00727D28">
        <w:tc>
          <w:tcPr>
            <w:tcW w:w="4928" w:type="dxa"/>
          </w:tcPr>
          <w:p w:rsidR="005F4665" w:rsidRPr="005F4665" w:rsidRDefault="005F4665" w:rsidP="00DB7D07">
            <w:pPr>
              <w:jc w:val="both"/>
              <w:rPr>
                <w:b/>
                <w:lang w:val="en-US"/>
              </w:rPr>
            </w:pPr>
            <w:proofErr w:type="spellStart"/>
            <w:r w:rsidRPr="005F4665">
              <w:rPr>
                <w:b/>
                <w:lang w:val="en-US"/>
              </w:rPr>
              <w:t>En</w:t>
            </w:r>
            <w:proofErr w:type="spellEnd"/>
          </w:p>
        </w:tc>
        <w:tc>
          <w:tcPr>
            <w:tcW w:w="4643" w:type="dxa"/>
          </w:tcPr>
          <w:p w:rsidR="005F4665" w:rsidRPr="005F4665" w:rsidRDefault="005F4665">
            <w:pPr>
              <w:rPr>
                <w:b/>
                <w:lang w:val="en-US"/>
              </w:rPr>
            </w:pPr>
            <w:r w:rsidRPr="005F4665">
              <w:rPr>
                <w:b/>
                <w:lang w:val="en-US"/>
              </w:rPr>
              <w:t>Ru</w:t>
            </w:r>
          </w:p>
        </w:tc>
      </w:tr>
      <w:tr w:rsidR="005F4665" w:rsidRPr="00B828C6" w:rsidTr="00727D28">
        <w:tc>
          <w:tcPr>
            <w:tcW w:w="4928" w:type="dxa"/>
          </w:tcPr>
          <w:p w:rsidR="005F4665" w:rsidRPr="00C102D2" w:rsidRDefault="00C102D2" w:rsidP="00C102D2">
            <w:pPr>
              <w:jc w:val="both"/>
              <w:rPr>
                <w:lang w:val="en-US"/>
              </w:rPr>
            </w:pPr>
            <w:r w:rsidRPr="00015803">
              <w:rPr>
                <w:lang w:val="en-US"/>
              </w:rPr>
              <w:t>This manual describes the operation and basic maintenance for the Purified Water</w:t>
            </w:r>
            <w:r>
              <w:rPr>
                <w:lang w:val="en-US"/>
              </w:rPr>
              <w:t xml:space="preserve"> </w:t>
            </w:r>
            <w:r w:rsidRPr="00015803">
              <w:rPr>
                <w:lang w:val="en-US"/>
              </w:rPr>
              <w:t>Generation Unit</w:t>
            </w:r>
            <w:r>
              <w:rPr>
                <w:lang w:val="en-US"/>
              </w:rPr>
              <w:t xml:space="preserve"> (PWGU)</w:t>
            </w:r>
            <w:r w:rsidRPr="00015803">
              <w:rPr>
                <w:lang w:val="en-US"/>
              </w:rPr>
              <w:t>. The unit is designed t</w:t>
            </w:r>
            <w:r w:rsidR="00705369" w:rsidRPr="00015803">
              <w:rPr>
                <w:lang w:val="en-US"/>
              </w:rPr>
              <w:t xml:space="preserve">o deliver 1,500 </w:t>
            </w:r>
            <w:proofErr w:type="spellStart"/>
            <w:r w:rsidR="00705369" w:rsidRPr="00015803">
              <w:rPr>
                <w:lang w:val="en-US"/>
              </w:rPr>
              <w:t>litres</w:t>
            </w:r>
            <w:proofErr w:type="spellEnd"/>
            <w:r w:rsidR="00705369" w:rsidRPr="00015803">
              <w:rPr>
                <w:lang w:val="en-US"/>
              </w:rPr>
              <w:t xml:space="preserve">/hour of </w:t>
            </w:r>
            <w:r w:rsidR="00705369">
              <w:rPr>
                <w:lang w:val="en-US"/>
              </w:rPr>
              <w:t>p</w:t>
            </w:r>
            <w:r w:rsidRPr="00015803">
              <w:rPr>
                <w:lang w:val="en-US"/>
              </w:rPr>
              <w:t>urified water which as a</w:t>
            </w:r>
            <w:r>
              <w:rPr>
                <w:lang w:val="en-US"/>
              </w:rPr>
              <w:t xml:space="preserve"> </w:t>
            </w:r>
            <w:r w:rsidRPr="00015803">
              <w:rPr>
                <w:lang w:val="en-US"/>
              </w:rPr>
              <w:t>minimum will meet the Purified Water Requirements of the European Pharmacopoeia</w:t>
            </w:r>
            <w:r>
              <w:rPr>
                <w:lang w:val="en-US"/>
              </w:rPr>
              <w:t xml:space="preserve"> </w:t>
            </w:r>
            <w:r w:rsidRPr="00C102D2">
              <w:rPr>
                <w:lang w:val="en-US"/>
              </w:rPr>
              <w:t>(EP).</w:t>
            </w:r>
          </w:p>
        </w:tc>
        <w:tc>
          <w:tcPr>
            <w:tcW w:w="4643" w:type="dxa"/>
          </w:tcPr>
          <w:p w:rsidR="005F4665" w:rsidRPr="00B828C6" w:rsidRDefault="00B828C6" w:rsidP="00275C88">
            <w:r>
              <w:t>Это руководство описывает</w:t>
            </w:r>
            <w:r w:rsidR="00275C88">
              <w:t xml:space="preserve"> правила эксплуатации и</w:t>
            </w:r>
            <w:r>
              <w:rPr>
                <w:rFonts w:ascii="Tahoma" w:hAnsi="Tahoma" w:cs="Tahoma"/>
                <w:color w:val="222222"/>
                <w:sz w:val="20"/>
                <w:szCs w:val="20"/>
                <w:shd w:val="clear" w:color="auto" w:fill="F5F5F5"/>
              </w:rPr>
              <w:t> </w:t>
            </w:r>
            <w:r>
              <w:t>основно</w:t>
            </w:r>
            <w:r w:rsidR="00275C88">
              <w:t>го</w:t>
            </w:r>
            <w:r>
              <w:t xml:space="preserve"> техническо</w:t>
            </w:r>
            <w:r w:rsidR="00275C88">
              <w:t>го</w:t>
            </w:r>
            <w:r>
              <w:t xml:space="preserve"> обслуживани</w:t>
            </w:r>
            <w:r w:rsidR="00275C88">
              <w:t>я</w:t>
            </w:r>
            <w:bookmarkStart w:id="0" w:name="_GoBack"/>
            <w:bookmarkEnd w:id="0"/>
            <w:r w:rsidRPr="00B828C6">
              <w:t xml:space="preserve"> </w:t>
            </w:r>
            <w:r>
              <w:t>Генератора очищенной воды (ГОВ). Генератор</w:t>
            </w:r>
            <w:r w:rsidRPr="00B828C6">
              <w:t xml:space="preserve"> </w:t>
            </w:r>
            <w:r>
              <w:t>разработан</w:t>
            </w:r>
            <w:r w:rsidRPr="00B828C6">
              <w:t xml:space="preserve"> </w:t>
            </w:r>
            <w:r>
              <w:t>для</w:t>
            </w:r>
            <w:r w:rsidRPr="00B828C6">
              <w:t xml:space="preserve"> </w:t>
            </w:r>
            <w:r>
              <w:t>производства</w:t>
            </w:r>
            <w:r w:rsidRPr="00B828C6">
              <w:t xml:space="preserve"> 1,5 </w:t>
            </w:r>
            <w:r>
              <w:t>литров</w:t>
            </w:r>
            <w:r w:rsidRPr="00B828C6">
              <w:t>/</w:t>
            </w:r>
            <w:r>
              <w:t>час</w:t>
            </w:r>
            <w:r w:rsidRPr="00B828C6">
              <w:t xml:space="preserve"> </w:t>
            </w:r>
            <w:r>
              <w:t>очищенной</w:t>
            </w:r>
            <w:r w:rsidRPr="00B828C6">
              <w:t xml:space="preserve"> </w:t>
            </w:r>
            <w:r>
              <w:t xml:space="preserve">воды, что соответствует минимальным требованиям Европейской Фармакопеи. (ЕФ). </w:t>
            </w:r>
          </w:p>
        </w:tc>
      </w:tr>
      <w:tr w:rsidR="005F4665" w:rsidRPr="004F5956" w:rsidTr="00727D28">
        <w:tc>
          <w:tcPr>
            <w:tcW w:w="4928" w:type="dxa"/>
          </w:tcPr>
          <w:p w:rsidR="005F4665" w:rsidRPr="00903E92" w:rsidRDefault="00C102D2" w:rsidP="00C102D2">
            <w:pPr>
              <w:jc w:val="both"/>
              <w:rPr>
                <w:lang w:val="en-US"/>
              </w:rPr>
            </w:pPr>
            <w:r w:rsidRPr="00C102D2">
              <w:rPr>
                <w:lang w:val="en-US"/>
              </w:rPr>
              <w:t xml:space="preserve">The purpose of the </w:t>
            </w:r>
            <w:r>
              <w:rPr>
                <w:lang w:val="en-US"/>
              </w:rPr>
              <w:t>PWGU</w:t>
            </w:r>
            <w:r w:rsidRPr="00C102D2">
              <w:rPr>
                <w:lang w:val="en-US"/>
              </w:rPr>
              <w:t xml:space="preserve"> is to generate EP quality purified</w:t>
            </w:r>
            <w:r>
              <w:rPr>
                <w:lang w:val="en-US"/>
              </w:rPr>
              <w:t xml:space="preserve"> </w:t>
            </w:r>
            <w:r w:rsidRPr="00C102D2">
              <w:rPr>
                <w:lang w:val="en-US"/>
              </w:rPr>
              <w:t>water from a pre-treated feed supply, and to deliver it to the Clients purified water storage</w:t>
            </w:r>
            <w:r>
              <w:rPr>
                <w:lang w:val="en-US"/>
              </w:rPr>
              <w:t xml:space="preserve"> </w:t>
            </w:r>
            <w:r w:rsidRPr="00C102D2">
              <w:rPr>
                <w:lang w:val="en-US"/>
              </w:rPr>
              <w:t>vessel for distribution.</w:t>
            </w:r>
          </w:p>
        </w:tc>
        <w:tc>
          <w:tcPr>
            <w:tcW w:w="4643" w:type="dxa"/>
          </w:tcPr>
          <w:p w:rsidR="005F4665" w:rsidRPr="004F5956" w:rsidRDefault="00B828C6" w:rsidP="004F5956">
            <w:r>
              <w:t xml:space="preserve">Цель ГОВ </w:t>
            </w:r>
            <w:r w:rsidR="004F5956">
              <w:t>–</w:t>
            </w:r>
            <w:r>
              <w:t xml:space="preserve"> </w:t>
            </w:r>
            <w:r w:rsidR="004F5956">
              <w:t>производить очищенную воду качества, соответствующего ЕФ</w:t>
            </w:r>
            <w:r w:rsidR="004F5956" w:rsidRPr="004F5956">
              <w:t xml:space="preserve"> </w:t>
            </w:r>
            <w:r w:rsidR="004F5956">
              <w:t>из пред-очищенной питьевой воды, и доставлять ее в Клиентские резервуары очищенной воды для дальнейшего распределения.</w:t>
            </w:r>
          </w:p>
        </w:tc>
      </w:tr>
      <w:tr w:rsidR="005F4665" w:rsidRPr="00BB370C" w:rsidTr="00727D28">
        <w:tc>
          <w:tcPr>
            <w:tcW w:w="4928" w:type="dxa"/>
          </w:tcPr>
          <w:p w:rsidR="005F4665" w:rsidRPr="00015803" w:rsidRDefault="00612431" w:rsidP="00612431">
            <w:pPr>
              <w:jc w:val="both"/>
              <w:rPr>
                <w:lang w:val="en-US"/>
              </w:rPr>
            </w:pPr>
            <w:r w:rsidRPr="00015803">
              <w:rPr>
                <w:lang w:val="en-US"/>
              </w:rPr>
              <w:t xml:space="preserve">The Primary Reverse Osmosis Units are used to </w:t>
            </w:r>
            <w:proofErr w:type="spellStart"/>
            <w:r w:rsidRPr="00015803">
              <w:rPr>
                <w:lang w:val="en-US"/>
              </w:rPr>
              <w:t>demineralise</w:t>
            </w:r>
            <w:proofErr w:type="spellEnd"/>
            <w:r w:rsidRPr="00015803">
              <w:rPr>
                <w:lang w:val="en-US"/>
              </w:rPr>
              <w:t xml:space="preserve"> the water to</w:t>
            </w:r>
            <w:r>
              <w:rPr>
                <w:lang w:val="en-US"/>
              </w:rPr>
              <w:t xml:space="preserve"> </w:t>
            </w:r>
            <w:r w:rsidRPr="00015803">
              <w:rPr>
                <w:lang w:val="en-US"/>
              </w:rPr>
              <w:t>a purity suitable for feed to the downstream Secondary RO Unit.</w:t>
            </w:r>
          </w:p>
        </w:tc>
        <w:tc>
          <w:tcPr>
            <w:tcW w:w="4643" w:type="dxa"/>
          </w:tcPr>
          <w:p w:rsidR="005F4665" w:rsidRPr="00BB370C" w:rsidRDefault="00BB370C">
            <w:r w:rsidRPr="00BB370C">
              <w:t xml:space="preserve">Первичные Элементы Обратного Осмоса используются для </w:t>
            </w:r>
            <w:proofErr w:type="spellStart"/>
            <w:r>
              <w:t>деминералтизации</w:t>
            </w:r>
            <w:proofErr w:type="spellEnd"/>
            <w:r>
              <w:t xml:space="preserve"> воды до чистоты, подходящей к употреблению</w:t>
            </w:r>
            <w:r w:rsidR="00D078F5">
              <w:t xml:space="preserve"> в находящихся ниже Вторичных Элементах Обратного Осмоса.</w:t>
            </w:r>
          </w:p>
        </w:tc>
      </w:tr>
      <w:tr w:rsidR="005F4665" w:rsidRPr="00B929B0" w:rsidTr="00727D28">
        <w:tc>
          <w:tcPr>
            <w:tcW w:w="4928" w:type="dxa"/>
          </w:tcPr>
          <w:p w:rsidR="005F4665" w:rsidRPr="00015803" w:rsidRDefault="00925A08" w:rsidP="00925A08">
            <w:pPr>
              <w:jc w:val="both"/>
              <w:rPr>
                <w:lang w:val="en-US"/>
              </w:rPr>
            </w:pPr>
            <w:r w:rsidRPr="00015803">
              <w:rPr>
                <w:lang w:val="en-US"/>
              </w:rPr>
              <w:t>On plant start up (powering up of the Central Control Panel) the Feed Water</w:t>
            </w:r>
            <w:r>
              <w:rPr>
                <w:lang w:val="en-US"/>
              </w:rPr>
              <w:t xml:space="preserve"> </w:t>
            </w:r>
            <w:r w:rsidRPr="00015803">
              <w:rPr>
                <w:lang w:val="en-US"/>
              </w:rPr>
              <w:t>Storage Tank will need to reach the “pump enable” level set point before the Primary</w:t>
            </w:r>
            <w:r>
              <w:rPr>
                <w:lang w:val="en-US"/>
              </w:rPr>
              <w:t xml:space="preserve"> </w:t>
            </w:r>
            <w:r w:rsidRPr="00015803">
              <w:rPr>
                <w:lang w:val="en-US"/>
              </w:rPr>
              <w:t>RO Booster Pump will automatically start.</w:t>
            </w:r>
          </w:p>
        </w:tc>
        <w:tc>
          <w:tcPr>
            <w:tcW w:w="4643" w:type="dxa"/>
          </w:tcPr>
          <w:p w:rsidR="005F4665" w:rsidRPr="00B929B0" w:rsidRDefault="00B929B0" w:rsidP="00B929B0">
            <w:r>
              <w:t xml:space="preserve">При заводской запуске (включение Центральной Контрольной Панели) Накопительный резервуар для питьевой воды должен будет наполниться до уровня «включение насоса» прежде, чем </w:t>
            </w:r>
            <w:proofErr w:type="spellStart"/>
            <w:r>
              <w:t>Бустерный</w:t>
            </w:r>
            <w:proofErr w:type="spellEnd"/>
            <w:r>
              <w:t xml:space="preserve"> насос Первичных</w:t>
            </w:r>
            <w:r w:rsidRPr="00BB370C">
              <w:t xml:space="preserve"> ЭОО</w:t>
            </w:r>
            <w:r>
              <w:t xml:space="preserve"> автоматически запустится.</w:t>
            </w:r>
          </w:p>
        </w:tc>
      </w:tr>
      <w:tr w:rsidR="005F4665" w:rsidRPr="00B929B0" w:rsidTr="00727D28">
        <w:tc>
          <w:tcPr>
            <w:tcW w:w="4928" w:type="dxa"/>
          </w:tcPr>
          <w:p w:rsidR="005F4665" w:rsidRPr="00015803" w:rsidRDefault="00FF4CA4" w:rsidP="00A34BE2">
            <w:pPr>
              <w:jc w:val="both"/>
              <w:rPr>
                <w:lang w:val="en-US"/>
              </w:rPr>
            </w:pPr>
            <w:r w:rsidRPr="00015803">
              <w:rPr>
                <w:lang w:val="en-US"/>
              </w:rPr>
              <w:t xml:space="preserve">If the water </w:t>
            </w:r>
            <w:r w:rsidR="00A34BE2" w:rsidRPr="00015803">
              <w:rPr>
                <w:lang w:val="en-US"/>
              </w:rPr>
              <w:t xml:space="preserve">temperature </w:t>
            </w:r>
            <w:r w:rsidRPr="00015803">
              <w:rPr>
                <w:lang w:val="en-US"/>
              </w:rPr>
              <w:t xml:space="preserve">exceeds a </w:t>
            </w:r>
            <w:proofErr w:type="spellStart"/>
            <w:r w:rsidRPr="00015803">
              <w:rPr>
                <w:lang w:val="en-US"/>
              </w:rPr>
              <w:t>setpoint</w:t>
            </w:r>
            <w:proofErr w:type="spellEnd"/>
            <w:r w:rsidRPr="00015803">
              <w:rPr>
                <w:lang w:val="en-US"/>
              </w:rPr>
              <w:t xml:space="preserve"> (25˚C</w:t>
            </w:r>
            <w:r>
              <w:rPr>
                <w:lang w:val="en-US"/>
              </w:rPr>
              <w:t xml:space="preserve"> </w:t>
            </w:r>
            <w:r w:rsidRPr="00015803">
              <w:rPr>
                <w:lang w:val="en-US"/>
              </w:rPr>
              <w:t>configurable) for a preset time an alarm is raised, valve V</w:t>
            </w:r>
            <w:r w:rsidR="0050302C">
              <w:rPr>
                <w:lang w:val="en-US"/>
              </w:rPr>
              <w:t>0</w:t>
            </w:r>
            <w:r w:rsidRPr="00015803">
              <w:rPr>
                <w:lang w:val="en-US"/>
              </w:rPr>
              <w:t>7 opens so that waste water goes to</w:t>
            </w:r>
            <w:r>
              <w:rPr>
                <w:lang w:val="en-US"/>
              </w:rPr>
              <w:t xml:space="preserve"> </w:t>
            </w:r>
            <w:r w:rsidRPr="00015803">
              <w:rPr>
                <w:lang w:val="en-US"/>
              </w:rPr>
              <w:t>drain and allows fresh cold mains water into the system.</w:t>
            </w:r>
          </w:p>
        </w:tc>
        <w:tc>
          <w:tcPr>
            <w:tcW w:w="4643" w:type="dxa"/>
          </w:tcPr>
          <w:p w:rsidR="005F4665" w:rsidRPr="00B929B0" w:rsidRDefault="00B929B0" w:rsidP="00B929B0">
            <w:r>
              <w:t xml:space="preserve">Если температура воды превышает заданное настраиваемое значение (25* С) за заданное на сигнализации время, клапан </w:t>
            </w:r>
            <w:r>
              <w:rPr>
                <w:lang w:val="en-US"/>
              </w:rPr>
              <w:t>V</w:t>
            </w:r>
            <w:r>
              <w:t>07 открывается, отработанная вода поступает в водосток и свежая холодная водопроводная вода поступает в систему.</w:t>
            </w:r>
          </w:p>
        </w:tc>
      </w:tr>
      <w:tr w:rsidR="005F4665" w:rsidRPr="00AD4C3A" w:rsidTr="00727D28">
        <w:tc>
          <w:tcPr>
            <w:tcW w:w="4928" w:type="dxa"/>
          </w:tcPr>
          <w:p w:rsidR="005F4665" w:rsidRPr="00015803" w:rsidRDefault="00BD2B37" w:rsidP="00E1726C">
            <w:pPr>
              <w:jc w:val="both"/>
              <w:rPr>
                <w:lang w:val="en-US"/>
              </w:rPr>
            </w:pPr>
            <w:r w:rsidRPr="00015803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PWGU</w:t>
            </w:r>
            <w:r w:rsidRPr="00015803">
              <w:rPr>
                <w:lang w:val="en-US"/>
              </w:rPr>
              <w:t xml:space="preserve"> is chemically </w:t>
            </w:r>
            <w:proofErr w:type="spellStart"/>
            <w:r w:rsidRPr="00015803">
              <w:rPr>
                <w:lang w:val="en-US"/>
              </w:rPr>
              <w:t>sanitisable</w:t>
            </w:r>
            <w:proofErr w:type="spellEnd"/>
            <w:r w:rsidRPr="00015803">
              <w:rPr>
                <w:lang w:val="en-US"/>
              </w:rPr>
              <w:t xml:space="preserve"> and </w:t>
            </w:r>
            <w:proofErr w:type="spellStart"/>
            <w:r w:rsidRPr="00015803">
              <w:rPr>
                <w:lang w:val="en-US"/>
              </w:rPr>
              <w:t>utilises</w:t>
            </w:r>
            <w:proofErr w:type="spellEnd"/>
            <w:r w:rsidRPr="00015803">
              <w:rPr>
                <w:lang w:val="en-US"/>
              </w:rPr>
              <w:t xml:space="preserve"> the Feed water tank (TK01), as a reservoir</w:t>
            </w:r>
            <w:r>
              <w:rPr>
                <w:lang w:val="en-US"/>
              </w:rPr>
              <w:t xml:space="preserve"> </w:t>
            </w:r>
            <w:r w:rsidRPr="00015803">
              <w:rPr>
                <w:lang w:val="en-US"/>
              </w:rPr>
              <w:t xml:space="preserve">for addition of </w:t>
            </w:r>
            <w:proofErr w:type="spellStart"/>
            <w:r w:rsidRPr="00015803">
              <w:rPr>
                <w:lang w:val="en-US"/>
              </w:rPr>
              <w:t>Peracetic</w:t>
            </w:r>
            <w:proofErr w:type="spellEnd"/>
            <w:r w:rsidRPr="00015803">
              <w:rPr>
                <w:lang w:val="en-US"/>
              </w:rPr>
              <w:t xml:space="preserve"> Acid (P3-Oxonia Active </w:t>
            </w:r>
            <w:proofErr w:type="spellStart"/>
            <w:r w:rsidRPr="00015803">
              <w:rPr>
                <w:lang w:val="en-US"/>
              </w:rPr>
              <w:t>sanitant</w:t>
            </w:r>
            <w:proofErr w:type="spellEnd"/>
            <w:r w:rsidRPr="00015803">
              <w:rPr>
                <w:lang w:val="en-US"/>
              </w:rPr>
              <w:t xml:space="preserve">). The </w:t>
            </w:r>
            <w:proofErr w:type="spellStart"/>
            <w:r w:rsidRPr="00015803">
              <w:rPr>
                <w:lang w:val="en-US"/>
              </w:rPr>
              <w:t>sanitisation</w:t>
            </w:r>
            <w:proofErr w:type="spellEnd"/>
            <w:r w:rsidRPr="00015803">
              <w:rPr>
                <w:lang w:val="en-US"/>
              </w:rPr>
              <w:t xml:space="preserve"> procedure will</w:t>
            </w:r>
            <w:r>
              <w:rPr>
                <w:lang w:val="en-US"/>
              </w:rPr>
              <w:t xml:space="preserve"> </w:t>
            </w:r>
            <w:r w:rsidRPr="00015803">
              <w:rPr>
                <w:lang w:val="en-US"/>
              </w:rPr>
              <w:t xml:space="preserve">allow the complete </w:t>
            </w:r>
            <w:r>
              <w:rPr>
                <w:lang w:val="en-US"/>
              </w:rPr>
              <w:t>PWGU</w:t>
            </w:r>
            <w:r w:rsidRPr="00015803">
              <w:rPr>
                <w:lang w:val="en-US"/>
              </w:rPr>
              <w:t xml:space="preserve"> system and pipework to the take off point to be </w:t>
            </w:r>
            <w:proofErr w:type="spellStart"/>
            <w:r w:rsidRPr="00015803">
              <w:rPr>
                <w:lang w:val="en-US"/>
              </w:rPr>
              <w:t>sanitised</w:t>
            </w:r>
            <w:proofErr w:type="spellEnd"/>
            <w:r>
              <w:rPr>
                <w:lang w:val="en-US"/>
              </w:rPr>
              <w:t xml:space="preserve"> </w:t>
            </w:r>
            <w:r w:rsidRPr="00015803">
              <w:rPr>
                <w:lang w:val="en-US"/>
              </w:rPr>
              <w:t>simultaneously.</w:t>
            </w:r>
          </w:p>
        </w:tc>
        <w:tc>
          <w:tcPr>
            <w:tcW w:w="4643" w:type="dxa"/>
          </w:tcPr>
          <w:p w:rsidR="005F4665" w:rsidRPr="00A9088C" w:rsidRDefault="00792A01" w:rsidP="00E67C16">
            <w:r>
              <w:t>ГОВ</w:t>
            </w:r>
            <w:r w:rsidR="00AD4C3A" w:rsidRPr="00AD4C3A">
              <w:t xml:space="preserve"> </w:t>
            </w:r>
            <w:r w:rsidR="00AD4C3A">
              <w:t xml:space="preserve">химически продезинфицирован и использует Резервуар для питьевой воды, как емкость для добавления </w:t>
            </w:r>
            <w:proofErr w:type="spellStart"/>
            <w:r w:rsidR="00AD4C3A">
              <w:t>Надуксусной</w:t>
            </w:r>
            <w:proofErr w:type="spellEnd"/>
            <w:r w:rsidR="00AD4C3A">
              <w:t xml:space="preserve"> кислоты (Жидкое кислотное дезинфицирующее средство</w:t>
            </w:r>
            <w:r w:rsidR="00AD4C3A" w:rsidRPr="00AD4C3A">
              <w:t xml:space="preserve"> </w:t>
            </w:r>
            <w:r w:rsidR="00AD4C3A">
              <w:rPr>
                <w:lang w:val="en-US"/>
              </w:rPr>
              <w:t>P</w:t>
            </w:r>
            <w:r w:rsidR="00AD4C3A" w:rsidRPr="00AD4C3A">
              <w:t>3-</w:t>
            </w:r>
            <w:r w:rsidR="00AD4C3A">
              <w:t xml:space="preserve">оксония актив). Дезинфицирующие процедуры позволят целой </w:t>
            </w:r>
            <w:r w:rsidR="00E67C16">
              <w:t xml:space="preserve">системе из </w:t>
            </w:r>
            <w:r w:rsidR="00AD4C3A">
              <w:t xml:space="preserve">ГОВ и </w:t>
            </w:r>
            <w:r w:rsidR="00E67C16">
              <w:t>труб</w:t>
            </w:r>
            <w:r w:rsidR="00AD4C3A">
              <w:t>опроводов</w:t>
            </w:r>
            <w:r w:rsidR="00E67C16">
              <w:t xml:space="preserve"> быть обеззараженными одновременно.</w:t>
            </w:r>
          </w:p>
        </w:tc>
      </w:tr>
      <w:tr w:rsidR="008857F0" w:rsidRPr="00151993" w:rsidTr="00727D28">
        <w:tc>
          <w:tcPr>
            <w:tcW w:w="4928" w:type="dxa"/>
          </w:tcPr>
          <w:p w:rsidR="008857F0" w:rsidRPr="00015803" w:rsidRDefault="00E30099" w:rsidP="00E30099">
            <w:pPr>
              <w:jc w:val="both"/>
              <w:rPr>
                <w:lang w:val="en-US"/>
              </w:rPr>
            </w:pPr>
            <w:r w:rsidRPr="00015803">
              <w:rPr>
                <w:lang w:val="en-US"/>
              </w:rPr>
              <w:t>The engineers screen allows the engineer to view the following additional screens –</w:t>
            </w:r>
            <w:r>
              <w:rPr>
                <w:lang w:val="en-US"/>
              </w:rPr>
              <w:t xml:space="preserve"> </w:t>
            </w:r>
            <w:r w:rsidRPr="00015803">
              <w:rPr>
                <w:lang w:val="en-US"/>
              </w:rPr>
              <w:t xml:space="preserve">commissioning, alarm set points, analogue set up and PID </w:t>
            </w:r>
            <w:proofErr w:type="spellStart"/>
            <w:r w:rsidRPr="00015803">
              <w:rPr>
                <w:lang w:val="en-US"/>
              </w:rPr>
              <w:t>setpoints</w:t>
            </w:r>
            <w:proofErr w:type="spellEnd"/>
            <w:r w:rsidRPr="00015803">
              <w:rPr>
                <w:lang w:val="en-US"/>
              </w:rPr>
              <w:t>. The user will require</w:t>
            </w:r>
            <w:r>
              <w:rPr>
                <w:lang w:val="en-US"/>
              </w:rPr>
              <w:t xml:space="preserve"> </w:t>
            </w:r>
            <w:r w:rsidRPr="00015803">
              <w:rPr>
                <w:lang w:val="en-US"/>
              </w:rPr>
              <w:t xml:space="preserve">‘Engineers’ administration </w:t>
            </w:r>
            <w:r w:rsidRPr="00015803">
              <w:rPr>
                <w:lang w:val="en-US"/>
              </w:rPr>
              <w:lastRenderedPageBreak/>
              <w:t>rights to access these screens.</w:t>
            </w:r>
          </w:p>
        </w:tc>
        <w:tc>
          <w:tcPr>
            <w:tcW w:w="4643" w:type="dxa"/>
          </w:tcPr>
          <w:p w:rsidR="008857F0" w:rsidRPr="00151993" w:rsidRDefault="00151993">
            <w:r>
              <w:lastRenderedPageBreak/>
              <w:t>Инженерный</w:t>
            </w:r>
            <w:r w:rsidRPr="00A9088C">
              <w:t xml:space="preserve"> </w:t>
            </w:r>
            <w:r>
              <w:t>экран</w:t>
            </w:r>
            <w:r w:rsidRPr="00A9088C">
              <w:t xml:space="preserve"> </w:t>
            </w:r>
            <w:r>
              <w:t>позволяет</w:t>
            </w:r>
            <w:r w:rsidRPr="00A9088C">
              <w:t xml:space="preserve"> </w:t>
            </w:r>
            <w:r>
              <w:t>инженеру</w:t>
            </w:r>
            <w:r w:rsidRPr="00A9088C">
              <w:t xml:space="preserve"> </w:t>
            </w:r>
            <w:r>
              <w:t>видеть</w:t>
            </w:r>
            <w:r w:rsidRPr="00A9088C">
              <w:t xml:space="preserve"> </w:t>
            </w:r>
            <w:r w:rsidR="00A9088C">
              <w:t xml:space="preserve">следующие вспомогательные экраны – пуско-наладочный, аварийная установка, моделирующее устройство и ПИД-регулятор. </w:t>
            </w:r>
            <w:r w:rsidR="00A9088C">
              <w:lastRenderedPageBreak/>
              <w:t>Пользователю потребуются права «Инженера», чтобы получить доступ к этим экранам.</w:t>
            </w:r>
          </w:p>
        </w:tc>
      </w:tr>
      <w:tr w:rsidR="008857F0" w:rsidRPr="009C4EAA" w:rsidTr="00727D28">
        <w:tc>
          <w:tcPr>
            <w:tcW w:w="4928" w:type="dxa"/>
          </w:tcPr>
          <w:p w:rsidR="008857F0" w:rsidRPr="00015803" w:rsidRDefault="00BF45A5" w:rsidP="00BF45A5">
            <w:pPr>
              <w:jc w:val="both"/>
              <w:rPr>
                <w:lang w:val="en-US"/>
              </w:rPr>
            </w:pPr>
            <w:r w:rsidRPr="00015803">
              <w:rPr>
                <w:lang w:val="en-US"/>
              </w:rPr>
              <w:lastRenderedPageBreak/>
              <w:t xml:space="preserve">The </w:t>
            </w:r>
            <w:r>
              <w:rPr>
                <w:lang w:val="en-US"/>
              </w:rPr>
              <w:t>PWGU</w:t>
            </w:r>
            <w:r w:rsidRPr="00015803">
              <w:rPr>
                <w:lang w:val="en-US"/>
              </w:rPr>
              <w:t xml:space="preserve"> Analogue Setup Screen contains the minimum and maximum scaled ranges of all the instruments on the system. It is important that any</w:t>
            </w:r>
            <w:r>
              <w:rPr>
                <w:lang w:val="en-US"/>
              </w:rPr>
              <w:t xml:space="preserve"> </w:t>
            </w:r>
            <w:r w:rsidRPr="00015803">
              <w:rPr>
                <w:lang w:val="en-US"/>
              </w:rPr>
              <w:t>instruments replaced during the life cycle of the system are ranged the same as the original instrument or inaccuracies in the displayed reading on</w:t>
            </w:r>
            <w:r>
              <w:rPr>
                <w:lang w:val="en-US"/>
              </w:rPr>
              <w:t xml:space="preserve"> </w:t>
            </w:r>
            <w:r w:rsidRPr="00015803">
              <w:rPr>
                <w:lang w:val="en-US"/>
              </w:rPr>
              <w:t>the HMI will be evident.</w:t>
            </w:r>
          </w:p>
        </w:tc>
        <w:tc>
          <w:tcPr>
            <w:tcW w:w="4643" w:type="dxa"/>
          </w:tcPr>
          <w:p w:rsidR="008857F0" w:rsidRPr="000A3ADB" w:rsidRDefault="009C4EAA" w:rsidP="003C571D">
            <w:r>
              <w:t xml:space="preserve">Экран моделирующего устройства ГОВ содержит минимальные и максимальные </w:t>
            </w:r>
            <w:r w:rsidR="003C571D">
              <w:t>диапазоны сопоставимых значений</w:t>
            </w:r>
            <w:r>
              <w:t xml:space="preserve"> всех инструментов системы. </w:t>
            </w:r>
            <w:r w:rsidR="000A3ADB">
              <w:t>Важно, чтобы любые инструменты, замененные в процессе жизненного цикла системы, были выстроены в том же порядке, как и оригинальные инструменты иначе ошибки в отображаемых показаниях на сенсорной панели оператора будут очевидны.</w:t>
            </w:r>
          </w:p>
        </w:tc>
      </w:tr>
      <w:tr w:rsidR="008857F0" w:rsidTr="00727D28">
        <w:tc>
          <w:tcPr>
            <w:tcW w:w="4928" w:type="dxa"/>
          </w:tcPr>
          <w:p w:rsidR="008857F0" w:rsidRPr="008B6A24" w:rsidRDefault="008B6A24" w:rsidP="008B6A24">
            <w:pPr>
              <w:jc w:val="both"/>
              <w:rPr>
                <w:lang w:val="en-US"/>
              </w:rPr>
            </w:pPr>
            <w:proofErr w:type="spellStart"/>
            <w:r w:rsidRPr="008B6A24">
              <w:t>Feed</w:t>
            </w:r>
            <w:proofErr w:type="spellEnd"/>
            <w:r w:rsidRPr="008B6A24">
              <w:t xml:space="preserve"> </w:t>
            </w:r>
            <w:proofErr w:type="spellStart"/>
            <w:r w:rsidRPr="008B6A24">
              <w:t>Water</w:t>
            </w:r>
            <w:proofErr w:type="spellEnd"/>
            <w:r w:rsidRPr="008B6A24">
              <w:t xml:space="preserve"> </w:t>
            </w:r>
            <w:proofErr w:type="spellStart"/>
            <w:r w:rsidRPr="008B6A24">
              <w:t>Specification</w:t>
            </w:r>
            <w:proofErr w:type="spellEnd"/>
            <w:r w:rsidRPr="008B6A24">
              <w:rPr>
                <w:lang w:val="en-US"/>
              </w:rPr>
              <w:t>:</w:t>
            </w:r>
          </w:p>
          <w:p w:rsidR="008B6A24" w:rsidRPr="008B6A24" w:rsidRDefault="008B6A24" w:rsidP="008B6A24">
            <w:pPr>
              <w:pStyle w:val="a4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B6A24">
              <w:rPr>
                <w:lang w:val="en-US"/>
              </w:rPr>
              <w:t>General Potable water free from organics, colloids and suspended solids (SDI &lt;5)</w:t>
            </w:r>
          </w:p>
          <w:p w:rsidR="008B6A24" w:rsidRPr="008B6A24" w:rsidRDefault="008B6A24" w:rsidP="008B6A24">
            <w:pPr>
              <w:pStyle w:val="a4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B6A24">
              <w:rPr>
                <w:lang w:val="en-US"/>
              </w:rPr>
              <w:t>Feed Water Pressure 2-6 bar</w:t>
            </w:r>
          </w:p>
          <w:p w:rsidR="008B6A24" w:rsidRPr="008B6A24" w:rsidRDefault="008B6A24" w:rsidP="008B6A24">
            <w:pPr>
              <w:pStyle w:val="a4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B6A24">
              <w:rPr>
                <w:lang w:val="en-US"/>
              </w:rPr>
              <w:t>Total Hardness Less than 5 ppm as CaCO3</w:t>
            </w:r>
          </w:p>
          <w:p w:rsidR="008B6A24" w:rsidRPr="008B6A24" w:rsidRDefault="008B6A24" w:rsidP="008B6A24">
            <w:pPr>
              <w:pStyle w:val="a4"/>
              <w:numPr>
                <w:ilvl w:val="0"/>
                <w:numId w:val="1"/>
              </w:numPr>
              <w:jc w:val="both"/>
              <w:rPr>
                <w:lang w:val="en-US"/>
              </w:rPr>
            </w:pPr>
            <w:r w:rsidRPr="008B6A24">
              <w:rPr>
                <w:lang w:val="en-US"/>
              </w:rPr>
              <w:t xml:space="preserve">Conductivity &lt; 1,000 </w:t>
            </w:r>
            <w:proofErr w:type="spellStart"/>
            <w:r w:rsidRPr="008B6A24">
              <w:rPr>
                <w:lang w:val="en-US"/>
              </w:rPr>
              <w:t>μS</w:t>
            </w:r>
            <w:proofErr w:type="spellEnd"/>
            <w:r w:rsidRPr="008B6A24">
              <w:rPr>
                <w:lang w:val="en-US"/>
              </w:rPr>
              <w:t>/cm</w:t>
            </w:r>
          </w:p>
        </w:tc>
        <w:tc>
          <w:tcPr>
            <w:tcW w:w="4643" w:type="dxa"/>
          </w:tcPr>
          <w:p w:rsidR="008857F0" w:rsidRDefault="003C571D">
            <w:r>
              <w:t>Спецификация питьевой воды:</w:t>
            </w:r>
          </w:p>
          <w:p w:rsidR="003C571D" w:rsidRDefault="003C571D">
            <w:r>
              <w:t xml:space="preserve">- </w:t>
            </w:r>
            <w:proofErr w:type="gramStart"/>
            <w:r>
              <w:t>Обычная Питьевая вода</w:t>
            </w:r>
            <w:proofErr w:type="gramEnd"/>
            <w:r>
              <w:t xml:space="preserve"> очищенная от органики, коллоидных веществ, взвешенных твердых частиц (ВТЧ </w:t>
            </w:r>
            <w:r w:rsidRPr="003C571D">
              <w:t>&lt;</w:t>
            </w:r>
            <w:r>
              <w:t>5);</w:t>
            </w:r>
          </w:p>
          <w:p w:rsidR="003C571D" w:rsidRDefault="003C571D">
            <w:r>
              <w:t>- Давление питьевой воды 2-6 бар</w:t>
            </w:r>
          </w:p>
          <w:p w:rsidR="003C571D" w:rsidRDefault="003C571D" w:rsidP="004713E0">
            <w:r>
              <w:t xml:space="preserve">- </w:t>
            </w:r>
            <w:r w:rsidR="004713E0">
              <w:t xml:space="preserve">Общая жесткость менее 5 </w:t>
            </w:r>
            <w:proofErr w:type="spellStart"/>
            <w:r w:rsidR="004713E0">
              <w:t>ppm</w:t>
            </w:r>
            <w:proofErr w:type="spellEnd"/>
          </w:p>
          <w:p w:rsidR="004713E0" w:rsidRPr="004713E0" w:rsidRDefault="004713E0" w:rsidP="004713E0">
            <w:r>
              <w:rPr>
                <w:lang w:val="en-US"/>
              </w:rPr>
              <w:t xml:space="preserve">- </w:t>
            </w:r>
            <w:r>
              <w:t xml:space="preserve">Электропроводимость </w:t>
            </w:r>
            <w:r>
              <w:rPr>
                <w:lang w:val="en-US"/>
              </w:rPr>
              <w:t>&lt;</w:t>
            </w:r>
            <w:r>
              <w:t xml:space="preserve">1,000 </w:t>
            </w:r>
            <w:proofErr w:type="spellStart"/>
            <w:r>
              <w:rPr>
                <w:color w:val="000000"/>
              </w:rPr>
              <w:t>мкСм</w:t>
            </w:r>
            <w:proofErr w:type="spellEnd"/>
            <w:r>
              <w:rPr>
                <w:color w:val="000000"/>
              </w:rPr>
              <w:t>/см</w:t>
            </w:r>
          </w:p>
        </w:tc>
      </w:tr>
      <w:tr w:rsidR="008857F0" w:rsidRPr="00E84EA7" w:rsidTr="00727D28">
        <w:tc>
          <w:tcPr>
            <w:tcW w:w="4928" w:type="dxa"/>
          </w:tcPr>
          <w:p w:rsidR="00124C21" w:rsidRDefault="00124C21" w:rsidP="00124C21">
            <w:pPr>
              <w:jc w:val="both"/>
              <w:rPr>
                <w:lang w:val="en-US"/>
              </w:rPr>
            </w:pPr>
            <w:proofErr w:type="spellStart"/>
            <w:r w:rsidRPr="00124C21">
              <w:t>Ventilation</w:t>
            </w:r>
            <w:proofErr w:type="spellEnd"/>
            <w:r>
              <w:rPr>
                <w:lang w:val="en-US"/>
              </w:rPr>
              <w:t>:</w:t>
            </w:r>
          </w:p>
          <w:p w:rsidR="008857F0" w:rsidRPr="00015803" w:rsidRDefault="00124C21" w:rsidP="00124C21">
            <w:pPr>
              <w:pStyle w:val="a4"/>
              <w:numPr>
                <w:ilvl w:val="0"/>
                <w:numId w:val="2"/>
              </w:numPr>
              <w:jc w:val="both"/>
              <w:rPr>
                <w:lang w:val="en-US"/>
              </w:rPr>
            </w:pPr>
            <w:r w:rsidRPr="00015803">
              <w:rPr>
                <w:lang w:val="en-US"/>
              </w:rPr>
              <w:t>Four room changes per hour</w:t>
            </w:r>
          </w:p>
        </w:tc>
        <w:tc>
          <w:tcPr>
            <w:tcW w:w="4643" w:type="dxa"/>
          </w:tcPr>
          <w:p w:rsidR="008857F0" w:rsidRDefault="00940F21">
            <w:r>
              <w:t>Вентиляция:</w:t>
            </w:r>
          </w:p>
          <w:p w:rsidR="00940F21" w:rsidRPr="00E84EA7" w:rsidRDefault="00940F21">
            <w:r>
              <w:t xml:space="preserve">- </w:t>
            </w:r>
            <w:r w:rsidR="00E84EA7">
              <w:t>Воздухообмен в четырех комнатах за час.</w:t>
            </w:r>
          </w:p>
        </w:tc>
      </w:tr>
      <w:tr w:rsidR="008857F0" w:rsidRPr="00E84EA7" w:rsidTr="00727D28">
        <w:tc>
          <w:tcPr>
            <w:tcW w:w="4928" w:type="dxa"/>
          </w:tcPr>
          <w:p w:rsidR="009B3AFE" w:rsidRPr="009B3AFE" w:rsidRDefault="00D201C4" w:rsidP="00CD7B7F">
            <w:pPr>
              <w:jc w:val="both"/>
              <w:rPr>
                <w:lang w:val="en-US"/>
              </w:rPr>
            </w:pPr>
            <w:r w:rsidRPr="00015803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PWGU</w:t>
            </w:r>
            <w:r w:rsidRPr="00015803">
              <w:rPr>
                <w:lang w:val="en-US"/>
              </w:rPr>
              <w:t xml:space="preserve"> will house a Siemens S7</w:t>
            </w:r>
            <w:r>
              <w:rPr>
                <w:lang w:val="en-US"/>
              </w:rPr>
              <w:t>-</w:t>
            </w:r>
            <w:r w:rsidRPr="00015803">
              <w:rPr>
                <w:lang w:val="en-US"/>
              </w:rPr>
              <w:t>series PLC with associated</w:t>
            </w:r>
            <w:r>
              <w:rPr>
                <w:lang w:val="en-US"/>
              </w:rPr>
              <w:t xml:space="preserve"> </w:t>
            </w:r>
            <w:r w:rsidRPr="00015803">
              <w:rPr>
                <w:lang w:val="en-US"/>
              </w:rPr>
              <w:t>input and output signals.</w:t>
            </w:r>
          </w:p>
        </w:tc>
        <w:tc>
          <w:tcPr>
            <w:tcW w:w="4643" w:type="dxa"/>
          </w:tcPr>
          <w:p w:rsidR="008857F0" w:rsidRPr="00E84EA7" w:rsidRDefault="00E84EA7" w:rsidP="004B1CAE">
            <w:r>
              <w:t xml:space="preserve">ГОВ будет вмещать программируемый контроллер серии </w:t>
            </w:r>
            <w:r w:rsidRPr="00015803">
              <w:rPr>
                <w:lang w:val="en-US"/>
              </w:rPr>
              <w:t>Siemens</w:t>
            </w:r>
            <w:r w:rsidRPr="00E84EA7">
              <w:t xml:space="preserve"> </w:t>
            </w:r>
            <w:r w:rsidRPr="00015803">
              <w:rPr>
                <w:lang w:val="en-US"/>
              </w:rPr>
              <w:t>S</w:t>
            </w:r>
            <w:r w:rsidRPr="00E84EA7">
              <w:t>7-</w:t>
            </w:r>
            <w:r w:rsidRPr="00015803">
              <w:rPr>
                <w:lang w:val="en-US"/>
              </w:rPr>
              <w:t>series</w:t>
            </w:r>
            <w:r w:rsidRPr="00E84EA7">
              <w:t xml:space="preserve"> </w:t>
            </w:r>
            <w:r w:rsidRPr="00015803">
              <w:rPr>
                <w:lang w:val="en-US"/>
              </w:rPr>
              <w:t>PLC</w:t>
            </w:r>
            <w:r>
              <w:t xml:space="preserve"> с </w:t>
            </w:r>
            <w:r w:rsidR="004B1CAE">
              <w:t>устройствами ввода-вывода.</w:t>
            </w:r>
          </w:p>
        </w:tc>
      </w:tr>
      <w:tr w:rsidR="004376CE" w:rsidRPr="00C71DB4" w:rsidTr="00727D28">
        <w:tc>
          <w:tcPr>
            <w:tcW w:w="4928" w:type="dxa"/>
          </w:tcPr>
          <w:p w:rsidR="004376CE" w:rsidRPr="007A6673" w:rsidRDefault="004376CE" w:rsidP="004376CE">
            <w:pPr>
              <w:jc w:val="both"/>
              <w:rPr>
                <w:lang w:val="en-US"/>
              </w:rPr>
            </w:pPr>
            <w:r w:rsidRPr="00015803">
              <w:rPr>
                <w:lang w:val="en-US"/>
              </w:rPr>
              <w:t>Outputs</w:t>
            </w:r>
            <w:r>
              <w:rPr>
                <w:lang w:val="en-US"/>
              </w:rPr>
              <w:t>:</w:t>
            </w:r>
          </w:p>
          <w:p w:rsidR="004376CE" w:rsidRDefault="004376CE" w:rsidP="004376CE">
            <w:pPr>
              <w:jc w:val="both"/>
              <w:rPr>
                <w:lang w:val="en-US"/>
              </w:rPr>
            </w:pPr>
            <w:r w:rsidRPr="00015803">
              <w:rPr>
                <w:lang w:val="en-US"/>
              </w:rPr>
              <w:t>• 1 programmable 0/4 - 20 mA</w:t>
            </w:r>
          </w:p>
          <w:p w:rsidR="004376CE" w:rsidRPr="00015803" w:rsidRDefault="004376CE" w:rsidP="004376CE">
            <w:pPr>
              <w:jc w:val="both"/>
              <w:rPr>
                <w:lang w:val="en-US"/>
              </w:rPr>
            </w:pPr>
            <w:r w:rsidRPr="00015803">
              <w:rPr>
                <w:lang w:val="en-US"/>
              </w:rPr>
              <w:t>• 0.1% of 20 mA resolution</w:t>
            </w:r>
          </w:p>
          <w:p w:rsidR="00CD0D45" w:rsidRDefault="004376CE" w:rsidP="004376CE">
            <w:pPr>
              <w:jc w:val="both"/>
              <w:rPr>
                <w:lang w:val="en-US"/>
              </w:rPr>
            </w:pPr>
            <w:r w:rsidRPr="00015803">
              <w:rPr>
                <w:lang w:val="en-US"/>
              </w:rPr>
              <w:t xml:space="preserve">• </w:t>
            </w:r>
            <w:r w:rsidR="00CD0D45" w:rsidRPr="00015803">
              <w:rPr>
                <w:lang w:val="en-US"/>
              </w:rPr>
              <w:t>clock settings stored in battery backed RAM, battery P/N</w:t>
            </w:r>
            <w:r w:rsidR="00CD0D45">
              <w:rPr>
                <w:lang w:val="en-US"/>
              </w:rPr>
              <w:t xml:space="preserve"> </w:t>
            </w:r>
            <w:r w:rsidR="008F5EE5" w:rsidRPr="00015803">
              <w:rPr>
                <w:lang w:val="en-US"/>
              </w:rPr>
              <w:t>PD</w:t>
            </w:r>
            <w:r w:rsidR="00CD0D45" w:rsidRPr="00015803">
              <w:rPr>
                <w:lang w:val="en-US"/>
              </w:rPr>
              <w:t xml:space="preserve">235 or use equivalent 3V Lithium battery (BR2335), </w:t>
            </w:r>
            <w:proofErr w:type="gramStart"/>
            <w:r w:rsidR="00CD0D45" w:rsidRPr="00015803">
              <w:rPr>
                <w:lang w:val="en-US"/>
              </w:rPr>
              <w:t>5 year</w:t>
            </w:r>
            <w:proofErr w:type="gramEnd"/>
            <w:r w:rsidR="00CD0D45" w:rsidRPr="00015803">
              <w:rPr>
                <w:lang w:val="en-US"/>
              </w:rPr>
              <w:t xml:space="preserve"> life</w:t>
            </w:r>
          </w:p>
          <w:p w:rsidR="004376CE" w:rsidRPr="00015803" w:rsidRDefault="004376CE" w:rsidP="002E3E3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PWGU</w:t>
            </w:r>
            <w:r w:rsidRPr="00015803">
              <w:rPr>
                <w:lang w:val="en-US"/>
              </w:rPr>
              <w:t xml:space="preserve"> support</w:t>
            </w:r>
            <w:r>
              <w:rPr>
                <w:lang w:val="en-US"/>
              </w:rPr>
              <w:t>s</w:t>
            </w:r>
            <w:r w:rsidRPr="00015803">
              <w:rPr>
                <w:lang w:val="en-US"/>
              </w:rPr>
              <w:t xml:space="preserve"> Modbus</w:t>
            </w:r>
            <w:r>
              <w:rPr>
                <w:lang w:val="en-US"/>
              </w:rPr>
              <w:t xml:space="preserve"> </w:t>
            </w:r>
            <w:r w:rsidRPr="00015803">
              <w:rPr>
                <w:lang w:val="en-US"/>
              </w:rPr>
              <w:t>protocol on the two RS-232 ports and the RS-485 port for communication to PLC.</w:t>
            </w:r>
          </w:p>
        </w:tc>
        <w:tc>
          <w:tcPr>
            <w:tcW w:w="4643" w:type="dxa"/>
          </w:tcPr>
          <w:p w:rsidR="004376CE" w:rsidRDefault="004B1CAE">
            <w:r>
              <w:t>Мощность:</w:t>
            </w:r>
          </w:p>
          <w:p w:rsidR="004B1CAE" w:rsidRDefault="004B1CAE">
            <w:r>
              <w:t xml:space="preserve">- </w:t>
            </w:r>
            <w:r w:rsidR="00C518C1">
              <w:t>1 программируемый 0/4-20 мА</w:t>
            </w:r>
            <w:r w:rsidR="00E5497C">
              <w:t>;</w:t>
            </w:r>
          </w:p>
          <w:p w:rsidR="00C518C1" w:rsidRDefault="00C518C1">
            <w:r>
              <w:t>- 0,1%</w:t>
            </w:r>
            <w:r w:rsidR="00C71DB4">
              <w:t xml:space="preserve"> от </w:t>
            </w:r>
            <w:r w:rsidR="00E5497C">
              <w:t>разрешения 20 мА;</w:t>
            </w:r>
          </w:p>
          <w:p w:rsidR="00C71DB4" w:rsidRPr="001B683A" w:rsidRDefault="00C71DB4" w:rsidP="00C71DB4">
            <w:pPr>
              <w:pStyle w:val="HTML"/>
              <w:shd w:val="clear" w:color="auto" w:fill="FFFFFF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C71DB4">
              <w:rPr>
                <w:rFonts w:asciiTheme="minorHAnsi" w:hAnsiTheme="minorHAnsi" w:cstheme="minorHAnsi"/>
                <w:sz w:val="22"/>
                <w:szCs w:val="22"/>
              </w:rPr>
              <w:t xml:space="preserve">- настройки часов зафиксированы в ОЗУ с батарейным питанием, батарея </w:t>
            </w:r>
            <w:r w:rsidRPr="00C71DB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Pr="00C71DB4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C71DB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</w:t>
            </w:r>
            <w:r w:rsidRPr="00C71D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1DB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PD</w:t>
            </w:r>
            <w:r w:rsidRPr="00C71DB4">
              <w:rPr>
                <w:rFonts w:asciiTheme="minorHAnsi" w:hAnsiTheme="minorHAnsi" w:cstheme="minorHAnsi"/>
                <w:sz w:val="22"/>
                <w:szCs w:val="22"/>
              </w:rPr>
              <w:t xml:space="preserve">235 или эквивалент </w:t>
            </w:r>
            <w:r w:rsidRPr="00C71DB4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3В литиевая батарея</w:t>
            </w:r>
            <w:r w:rsidR="00C32A7C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="00C32A7C" w:rsidRPr="00C32A7C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C32A7C" w:rsidRPr="00C32A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BR</w:t>
            </w:r>
            <w:r w:rsidR="00C32A7C" w:rsidRPr="00C32A7C">
              <w:rPr>
                <w:rFonts w:asciiTheme="minorHAnsi" w:hAnsiTheme="minorHAnsi" w:cstheme="minorHAnsi"/>
                <w:sz w:val="22"/>
                <w:szCs w:val="22"/>
              </w:rPr>
              <w:t>2335),</w:t>
            </w:r>
            <w:r w:rsidR="00C32A7C">
              <w:rPr>
                <w:rFonts w:asciiTheme="minorHAnsi" w:hAnsiTheme="minorHAnsi" w:cstheme="minorHAnsi"/>
                <w:sz w:val="22"/>
                <w:szCs w:val="22"/>
              </w:rPr>
              <w:t xml:space="preserve"> в течении 5 лет ГОВ поддерживает </w:t>
            </w:r>
            <w:r w:rsidR="00C32A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Modbus</w:t>
            </w:r>
            <w:r w:rsidR="00C32A7C">
              <w:rPr>
                <w:rFonts w:asciiTheme="minorHAnsi" w:hAnsiTheme="minorHAnsi" w:cstheme="minorHAnsi"/>
                <w:sz w:val="22"/>
                <w:szCs w:val="22"/>
              </w:rPr>
              <w:t xml:space="preserve"> протокол </w:t>
            </w:r>
            <w:proofErr w:type="gramStart"/>
            <w:r w:rsidR="00C32A7C">
              <w:rPr>
                <w:rFonts w:asciiTheme="minorHAnsi" w:hAnsiTheme="minorHAnsi" w:cstheme="minorHAnsi"/>
                <w:sz w:val="22"/>
                <w:szCs w:val="22"/>
              </w:rPr>
              <w:t>на  двух</w:t>
            </w:r>
            <w:proofErr w:type="gramEnd"/>
            <w:r w:rsidR="00C32A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32A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RS</w:t>
            </w:r>
            <w:r w:rsidR="00C32A7C" w:rsidRPr="00C32A7C">
              <w:rPr>
                <w:rFonts w:asciiTheme="minorHAnsi" w:hAnsiTheme="minorHAnsi" w:cstheme="minorHAnsi"/>
                <w:sz w:val="22"/>
                <w:szCs w:val="22"/>
              </w:rPr>
              <w:t xml:space="preserve">-232 </w:t>
            </w:r>
            <w:r w:rsidR="00C32A7C">
              <w:rPr>
                <w:rFonts w:asciiTheme="minorHAnsi" w:hAnsiTheme="minorHAnsi" w:cstheme="minorHAnsi"/>
                <w:sz w:val="22"/>
                <w:szCs w:val="22"/>
              </w:rPr>
              <w:t xml:space="preserve">портах и </w:t>
            </w:r>
            <w:r w:rsidR="00C32A7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RS</w:t>
            </w:r>
            <w:r w:rsidR="00C32A7C">
              <w:rPr>
                <w:rFonts w:asciiTheme="minorHAnsi" w:hAnsiTheme="minorHAnsi" w:cstheme="minorHAnsi"/>
                <w:sz w:val="22"/>
                <w:szCs w:val="22"/>
              </w:rPr>
              <w:t xml:space="preserve">-485 портом для коммуникации с </w:t>
            </w:r>
            <w:r w:rsidR="001B683A">
              <w:rPr>
                <w:rFonts w:asciiTheme="minorHAnsi" w:hAnsiTheme="minorHAnsi" w:cstheme="minorHAnsi"/>
                <w:sz w:val="22"/>
                <w:szCs w:val="22"/>
              </w:rPr>
              <w:t xml:space="preserve">контроллером </w:t>
            </w:r>
            <w:r w:rsidR="001B683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PLC</w:t>
            </w:r>
            <w:r w:rsidR="001B683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C71DB4" w:rsidRPr="00C71DB4" w:rsidRDefault="00C71DB4"/>
        </w:tc>
      </w:tr>
    </w:tbl>
    <w:p w:rsidR="00B14097" w:rsidRPr="00C71DB4" w:rsidRDefault="00B14097"/>
    <w:sectPr w:rsidR="00B14097" w:rsidRPr="00C7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B3F82"/>
    <w:multiLevelType w:val="hybridMultilevel"/>
    <w:tmpl w:val="1D5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47AB2"/>
    <w:multiLevelType w:val="hybridMultilevel"/>
    <w:tmpl w:val="81843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4D3"/>
    <w:rsid w:val="00015803"/>
    <w:rsid w:val="00025D3C"/>
    <w:rsid w:val="000547D6"/>
    <w:rsid w:val="0007787B"/>
    <w:rsid w:val="000A3ADB"/>
    <w:rsid w:val="00124C21"/>
    <w:rsid w:val="00151993"/>
    <w:rsid w:val="001A66BA"/>
    <w:rsid w:val="001B5F02"/>
    <w:rsid w:val="001B683A"/>
    <w:rsid w:val="00207394"/>
    <w:rsid w:val="00275C88"/>
    <w:rsid w:val="0029192D"/>
    <w:rsid w:val="002E3E31"/>
    <w:rsid w:val="002E7016"/>
    <w:rsid w:val="0039547A"/>
    <w:rsid w:val="003C571D"/>
    <w:rsid w:val="004376CE"/>
    <w:rsid w:val="004713E0"/>
    <w:rsid w:val="004B1CAE"/>
    <w:rsid w:val="004F5956"/>
    <w:rsid w:val="0050302C"/>
    <w:rsid w:val="005664D3"/>
    <w:rsid w:val="005A4DC6"/>
    <w:rsid w:val="005F4665"/>
    <w:rsid w:val="00612431"/>
    <w:rsid w:val="00705369"/>
    <w:rsid w:val="00727D28"/>
    <w:rsid w:val="00771DED"/>
    <w:rsid w:val="00792A01"/>
    <w:rsid w:val="007A6673"/>
    <w:rsid w:val="0083416E"/>
    <w:rsid w:val="00860BE9"/>
    <w:rsid w:val="008857F0"/>
    <w:rsid w:val="0088718F"/>
    <w:rsid w:val="008B6A24"/>
    <w:rsid w:val="008F5EE5"/>
    <w:rsid w:val="00903E92"/>
    <w:rsid w:val="00925A08"/>
    <w:rsid w:val="00940F21"/>
    <w:rsid w:val="00964DFB"/>
    <w:rsid w:val="009B3AFE"/>
    <w:rsid w:val="009C4EAA"/>
    <w:rsid w:val="00A16E4E"/>
    <w:rsid w:val="00A319F4"/>
    <w:rsid w:val="00A34BE2"/>
    <w:rsid w:val="00A9088C"/>
    <w:rsid w:val="00AD4C3A"/>
    <w:rsid w:val="00B14097"/>
    <w:rsid w:val="00B828C6"/>
    <w:rsid w:val="00B929B0"/>
    <w:rsid w:val="00B96C98"/>
    <w:rsid w:val="00BB370C"/>
    <w:rsid w:val="00BD2B37"/>
    <w:rsid w:val="00BF45A5"/>
    <w:rsid w:val="00BF69F4"/>
    <w:rsid w:val="00C102D2"/>
    <w:rsid w:val="00C32A7C"/>
    <w:rsid w:val="00C442DC"/>
    <w:rsid w:val="00C518C1"/>
    <w:rsid w:val="00C71DB4"/>
    <w:rsid w:val="00CD0D45"/>
    <w:rsid w:val="00CD7B7F"/>
    <w:rsid w:val="00D078F5"/>
    <w:rsid w:val="00D201C4"/>
    <w:rsid w:val="00DB7D07"/>
    <w:rsid w:val="00DD3CB6"/>
    <w:rsid w:val="00E1726C"/>
    <w:rsid w:val="00E30099"/>
    <w:rsid w:val="00E5497C"/>
    <w:rsid w:val="00E67C16"/>
    <w:rsid w:val="00E84EA7"/>
    <w:rsid w:val="00EF18E6"/>
    <w:rsid w:val="00F738FE"/>
    <w:rsid w:val="00F74B46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089E"/>
  <w15:docId w15:val="{D69046FD-FF3B-4C84-9DC5-3A53FF8A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A24"/>
    <w:pPr>
      <w:ind w:left="720"/>
      <w:contextualSpacing/>
    </w:pPr>
  </w:style>
  <w:style w:type="character" w:styleId="a5">
    <w:name w:val="Strong"/>
    <w:uiPriority w:val="99"/>
    <w:qFormat/>
    <w:rsid w:val="00015803"/>
    <w:rPr>
      <w:rFonts w:cs="Times New Roman"/>
      <w:b/>
    </w:rPr>
  </w:style>
  <w:style w:type="character" w:styleId="a6">
    <w:name w:val="Emphasis"/>
    <w:basedOn w:val="a0"/>
    <w:uiPriority w:val="20"/>
    <w:qFormat/>
    <w:rsid w:val="00B828C6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C71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1DB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Chernyuk Anton</dc:creator>
  <cp:keywords/>
  <dc:description/>
  <cp:lastModifiedBy>margarita margarita</cp:lastModifiedBy>
  <cp:revision>6</cp:revision>
  <dcterms:created xsi:type="dcterms:W3CDTF">2017-11-14T15:20:00Z</dcterms:created>
  <dcterms:modified xsi:type="dcterms:W3CDTF">2019-04-23T19:05:00Z</dcterms:modified>
</cp:coreProperties>
</file>