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85" w:rsidRDefault="00341985" w:rsidP="00341985">
      <w:pPr>
        <w:rPr>
          <w:rFonts w:cstheme="minorHAnsi"/>
          <w:color w:val="000000"/>
        </w:rPr>
      </w:pPr>
      <w:r w:rsidRPr="00A00756">
        <w:rPr>
          <w:rFonts w:cstheme="minorHAnsi"/>
          <w:color w:val="000000"/>
          <w:lang w:val="en-US"/>
        </w:rPr>
        <w:t>Description</w:t>
      </w:r>
      <w:r w:rsidRPr="00A00756">
        <w:rPr>
          <w:rFonts w:cstheme="minorHAnsi"/>
          <w:color w:val="000000"/>
        </w:rPr>
        <w:t>:</w:t>
      </w:r>
      <w:r w:rsidR="00974BE1">
        <w:rPr>
          <w:rFonts w:cstheme="minorHAnsi"/>
          <w:color w:val="000000"/>
        </w:rPr>
        <w:t xml:space="preserve"> При гипертонии врачи прописывают </w:t>
      </w:r>
      <w:r w:rsidR="00974BE1" w:rsidRPr="00974BE1">
        <w:rPr>
          <w:rFonts w:cstheme="minorHAnsi"/>
          <w:color w:val="000000"/>
        </w:rPr>
        <w:t xml:space="preserve">таблетки от давления </w:t>
      </w:r>
      <w:proofErr w:type="spellStart"/>
      <w:r w:rsidR="00974BE1" w:rsidRPr="00974BE1">
        <w:rPr>
          <w:rFonts w:cstheme="minorHAnsi"/>
          <w:color w:val="000000"/>
        </w:rPr>
        <w:t>Атаканд</w:t>
      </w:r>
      <w:proofErr w:type="spellEnd"/>
      <w:r w:rsidR="00974BE1">
        <w:rPr>
          <w:rFonts w:cstheme="minorHAnsi"/>
          <w:color w:val="000000"/>
        </w:rPr>
        <w:t>. Это сильное лекарство, которое понижает показатели давления и улучшает общее состояние</w:t>
      </w:r>
      <w:proofErr w:type="gramStart"/>
      <w:r w:rsidR="00974BE1">
        <w:rPr>
          <w:rFonts w:cstheme="minorHAnsi"/>
          <w:color w:val="000000"/>
        </w:rPr>
        <w:t>.</w:t>
      </w:r>
      <w:proofErr w:type="gramEnd"/>
      <w:r w:rsidR="00974BE1">
        <w:rPr>
          <w:rFonts w:cstheme="minorHAnsi"/>
          <w:color w:val="000000"/>
        </w:rPr>
        <w:t xml:space="preserve"> чтобы препарат принес пользу, нужно следовать инструкции по применению.</w:t>
      </w:r>
    </w:p>
    <w:p w:rsidR="00974BE1" w:rsidRDefault="00974BE1" w:rsidP="00341985">
      <w:pPr>
        <w:rPr>
          <w:rFonts w:cstheme="minorHAnsi"/>
          <w:color w:val="000000"/>
        </w:rPr>
      </w:pPr>
    </w:p>
    <w:p w:rsidR="00974BE1" w:rsidRDefault="00974BE1" w:rsidP="00341985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При гипертонической болезни, недостаточности сердца, других заболеваниях сердечно-сосудистой системы врачи назначают таблетки </w:t>
      </w:r>
      <w:proofErr w:type="spellStart"/>
      <w:r>
        <w:rPr>
          <w:rFonts w:cstheme="minorHAnsi"/>
          <w:color w:val="000000"/>
        </w:rPr>
        <w:t>Ат</w:t>
      </w:r>
      <w:r w:rsidRPr="00974BE1">
        <w:rPr>
          <w:rFonts w:cstheme="minorHAnsi"/>
          <w:color w:val="000000"/>
        </w:rPr>
        <w:t>аканд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Атаканд</w:t>
      </w:r>
      <w:proofErr w:type="spellEnd"/>
      <w:r>
        <w:rPr>
          <w:rFonts w:cstheme="minorHAnsi"/>
          <w:color w:val="000000"/>
        </w:rPr>
        <w:t xml:space="preserve"> от давления оказывает сильный гипотензивный эффект и действует там, где другие препараты не помогают. Он действует направленно на источник проблемы, мягко снижая показатели артериального давления, нормализуя работу внутренних органов и систем. Медикамент принимают перорально по назначению врача.</w:t>
      </w:r>
    </w:p>
    <w:p w:rsidR="00974BE1" w:rsidRDefault="00974BE1" w:rsidP="00974BE1">
      <w:pPr>
        <w:pStyle w:val="2"/>
      </w:pPr>
      <w:r>
        <w:t>Общие сведения о препарате</w:t>
      </w:r>
    </w:p>
    <w:p w:rsidR="00974BE1" w:rsidRDefault="00270EC8" w:rsidP="00270EC8">
      <w:r>
        <w:t xml:space="preserve">Гипотензивный препарат </w:t>
      </w:r>
      <w:proofErr w:type="spellStart"/>
      <w:r>
        <w:t>Атаканд</w:t>
      </w:r>
      <w:proofErr w:type="spellEnd"/>
      <w:r>
        <w:t xml:space="preserve"> имеет второе международное название </w:t>
      </w:r>
      <w:proofErr w:type="spellStart"/>
      <w:r>
        <w:t>Кандесартан</w:t>
      </w:r>
      <w:proofErr w:type="spellEnd"/>
      <w:r>
        <w:t>. Препарат относится к б</w:t>
      </w:r>
      <w:r w:rsidRPr="00270EC8">
        <w:t>локатор</w:t>
      </w:r>
      <w:r>
        <w:t>ам</w:t>
      </w:r>
      <w:r w:rsidRPr="00270EC8">
        <w:t xml:space="preserve"> рецепторов </w:t>
      </w:r>
      <w:proofErr w:type="spellStart"/>
      <w:r w:rsidRPr="00270EC8">
        <w:t>ангиотензина</w:t>
      </w:r>
      <w:proofErr w:type="spellEnd"/>
      <w:r>
        <w:t xml:space="preserve"> 2 или </w:t>
      </w:r>
      <w:proofErr w:type="spellStart"/>
      <w:r>
        <w:t>сартанам</w:t>
      </w:r>
      <w:proofErr w:type="spellEnd"/>
      <w:r>
        <w:t xml:space="preserve">. Медикамент подавляет активное действие </w:t>
      </w:r>
      <w:r w:rsidR="00B656BA">
        <w:t>гормона, расширяя стенки сосудов и нормализуя показатели давления.</w:t>
      </w:r>
    </w:p>
    <w:p w:rsidR="00B656BA" w:rsidRDefault="00B656BA" w:rsidP="009D1924">
      <w:pPr>
        <w:pStyle w:val="3"/>
      </w:pPr>
      <w:r>
        <w:t>Форма выпуска и упаковка</w:t>
      </w:r>
    </w:p>
    <w:p w:rsidR="00B656BA" w:rsidRDefault="00B656BA" w:rsidP="00B656BA">
      <w:r>
        <w:t xml:space="preserve">Лекарственный препарат </w:t>
      </w:r>
      <w:proofErr w:type="spellStart"/>
      <w:r>
        <w:t>Атаканд</w:t>
      </w:r>
      <w:proofErr w:type="spellEnd"/>
      <w:r>
        <w:t xml:space="preserve"> выпускается в форме таблеток. В продаже есть таблетки с разным содержанием активного компонента </w:t>
      </w:r>
      <w:proofErr w:type="spellStart"/>
      <w:r>
        <w:t>Кандесартана</w:t>
      </w:r>
      <w:proofErr w:type="spellEnd"/>
      <w:r>
        <w:t xml:space="preserve"> </w:t>
      </w:r>
      <w:proofErr w:type="spellStart"/>
      <w:r>
        <w:t>Цилексетила</w:t>
      </w:r>
      <w:proofErr w:type="spellEnd"/>
      <w:r>
        <w:t>: 8, 16, 32 мг.</w:t>
      </w:r>
    </w:p>
    <w:p w:rsidR="00B656BA" w:rsidRDefault="00B656BA" w:rsidP="00B656BA">
      <w:r>
        <w:t xml:space="preserve">Таблетка белого цвета с разделительной чертой дает возможность выбирать нужную дозировку. </w:t>
      </w:r>
    </w:p>
    <w:p w:rsidR="00B656BA" w:rsidRDefault="00B656BA" w:rsidP="00B656BA">
      <w:r>
        <w:t xml:space="preserve">Каждая таблетка упакована в индивидуальную ячейку блистера. В каждой упаковке содержится 28 таблеток. На упаковке указано количество активного компонента в миллиграммах. В комплекте идет инструкция по применению </w:t>
      </w:r>
      <w:proofErr w:type="spellStart"/>
      <w:r w:rsidR="009D1924">
        <w:t>Атаканда</w:t>
      </w:r>
      <w:proofErr w:type="spellEnd"/>
      <w:r w:rsidR="009D1924">
        <w:t>.</w:t>
      </w:r>
    </w:p>
    <w:p w:rsidR="009D1924" w:rsidRDefault="009D1924" w:rsidP="009D1924">
      <w:pPr>
        <w:pStyle w:val="3"/>
      </w:pPr>
      <w:r>
        <w:t>Состав</w:t>
      </w:r>
    </w:p>
    <w:p w:rsidR="009D1924" w:rsidRDefault="009D1924" w:rsidP="009D1924">
      <w:r>
        <w:t xml:space="preserve">Основное действующее вещество таблеток </w:t>
      </w:r>
      <w:proofErr w:type="spellStart"/>
      <w:r>
        <w:t>Атаканд</w:t>
      </w:r>
      <w:proofErr w:type="spellEnd"/>
      <w:r>
        <w:t xml:space="preserve"> - </w:t>
      </w:r>
      <w:proofErr w:type="spellStart"/>
      <w:r>
        <w:t>К</w:t>
      </w:r>
      <w:r w:rsidRPr="009D1924">
        <w:t>андесартан</w:t>
      </w:r>
      <w:proofErr w:type="spellEnd"/>
      <w:r w:rsidRPr="009D1924">
        <w:t xml:space="preserve"> </w:t>
      </w:r>
      <w:proofErr w:type="spellStart"/>
      <w:r>
        <w:t>Ц</w:t>
      </w:r>
      <w:r w:rsidRPr="009D1924">
        <w:t>илексетил</w:t>
      </w:r>
      <w:proofErr w:type="spellEnd"/>
      <w:r>
        <w:t>.</w:t>
      </w:r>
    </w:p>
    <w:p w:rsidR="009D1924" w:rsidRDefault="009D1924" w:rsidP="009D1924">
      <w:r>
        <w:t>Другие компоненты, входящие в состав препарата:</w:t>
      </w:r>
    </w:p>
    <w:p w:rsidR="009D1924" w:rsidRDefault="003410B3" w:rsidP="009D1924">
      <w:pPr>
        <w:pStyle w:val="a4"/>
        <w:numPr>
          <w:ilvl w:val="0"/>
          <w:numId w:val="10"/>
        </w:numPr>
      </w:pPr>
      <w:r>
        <w:t>гидролаза;</w:t>
      </w:r>
    </w:p>
    <w:p w:rsidR="003410B3" w:rsidRDefault="003410B3" w:rsidP="009D1924">
      <w:pPr>
        <w:pStyle w:val="a4"/>
        <w:numPr>
          <w:ilvl w:val="0"/>
          <w:numId w:val="10"/>
        </w:numPr>
      </w:pPr>
      <w:r>
        <w:t>соли кальция;</w:t>
      </w:r>
    </w:p>
    <w:p w:rsidR="003410B3" w:rsidRDefault="003410B3" w:rsidP="009D1924">
      <w:pPr>
        <w:pStyle w:val="a4"/>
        <w:numPr>
          <w:ilvl w:val="0"/>
          <w:numId w:val="10"/>
        </w:numPr>
      </w:pPr>
      <w:proofErr w:type="spellStart"/>
      <w:r>
        <w:t>кармеллоза</w:t>
      </w:r>
      <w:proofErr w:type="spellEnd"/>
      <w:r>
        <w:t>;</w:t>
      </w:r>
    </w:p>
    <w:p w:rsidR="003410B3" w:rsidRDefault="003410B3" w:rsidP="009D1924">
      <w:pPr>
        <w:pStyle w:val="a4"/>
        <w:numPr>
          <w:ilvl w:val="0"/>
          <w:numId w:val="10"/>
        </w:numPr>
      </w:pPr>
      <w:r>
        <w:t>оксид железа;</w:t>
      </w:r>
    </w:p>
    <w:p w:rsidR="003410B3" w:rsidRDefault="003410B3" w:rsidP="009D1924">
      <w:pPr>
        <w:pStyle w:val="a4"/>
        <w:numPr>
          <w:ilvl w:val="0"/>
          <w:numId w:val="10"/>
        </w:numPr>
      </w:pPr>
      <w:r>
        <w:t>лактоза;</w:t>
      </w:r>
    </w:p>
    <w:p w:rsidR="003410B3" w:rsidRDefault="003410B3" w:rsidP="003410B3">
      <w:pPr>
        <w:pStyle w:val="a4"/>
        <w:numPr>
          <w:ilvl w:val="0"/>
          <w:numId w:val="10"/>
        </w:numPr>
      </w:pPr>
      <w:r>
        <w:t>картофельный крахмал;</w:t>
      </w:r>
    </w:p>
    <w:p w:rsidR="003410B3" w:rsidRDefault="003410B3" w:rsidP="003410B3">
      <w:pPr>
        <w:pStyle w:val="a4"/>
        <w:numPr>
          <w:ilvl w:val="0"/>
          <w:numId w:val="10"/>
        </w:numPr>
      </w:pPr>
      <w:r>
        <w:t>магниевые соли;</w:t>
      </w:r>
    </w:p>
    <w:p w:rsidR="003410B3" w:rsidRDefault="003410B3" w:rsidP="003410B3">
      <w:pPr>
        <w:pStyle w:val="a4"/>
        <w:numPr>
          <w:ilvl w:val="0"/>
          <w:numId w:val="10"/>
        </w:numPr>
      </w:pPr>
      <w:proofErr w:type="spellStart"/>
      <w:r>
        <w:t>п</w:t>
      </w:r>
      <w:r w:rsidRPr="003410B3">
        <w:t>олиэтиленгликоль</w:t>
      </w:r>
      <w:proofErr w:type="spellEnd"/>
      <w:r>
        <w:t>.</w:t>
      </w:r>
    </w:p>
    <w:p w:rsidR="003410B3" w:rsidRDefault="003410B3" w:rsidP="003410B3">
      <w:pPr>
        <w:pStyle w:val="3"/>
      </w:pPr>
      <w:r>
        <w:t>Стоимость и условия продажи</w:t>
      </w:r>
    </w:p>
    <w:p w:rsidR="003410B3" w:rsidRDefault="00F57AB6" w:rsidP="003410B3">
      <w:r>
        <w:t>Т</w:t>
      </w:r>
      <w:r w:rsidRPr="00F57AB6">
        <w:t xml:space="preserve">аблетки от давления </w:t>
      </w:r>
      <w:proofErr w:type="spellStart"/>
      <w:r>
        <w:t>А</w:t>
      </w:r>
      <w:r w:rsidRPr="00F57AB6">
        <w:t>таканд</w:t>
      </w:r>
      <w:proofErr w:type="spellEnd"/>
      <w:r w:rsidRPr="00F57AB6">
        <w:t xml:space="preserve"> </w:t>
      </w:r>
      <w:r w:rsidR="003410B3">
        <w:t>прода</w:t>
      </w:r>
      <w:r>
        <w:t>ю</w:t>
      </w:r>
      <w:r w:rsidR="003410B3">
        <w:t xml:space="preserve">тся в аптечных пунктах по рецепту лечащего врача. Лекарственное средство доступно только в таблетированной форме. </w:t>
      </w:r>
      <w:r w:rsidR="000B0AEE">
        <w:t xml:space="preserve">Цена на </w:t>
      </w:r>
      <w:proofErr w:type="spellStart"/>
      <w:r w:rsidR="000B0AEE">
        <w:t>А</w:t>
      </w:r>
      <w:r w:rsidR="000B0AEE" w:rsidRPr="000B0AEE">
        <w:t>таканд</w:t>
      </w:r>
      <w:proofErr w:type="spellEnd"/>
      <w:r w:rsidR="003410B3" w:rsidRPr="000B0AEE">
        <w:t xml:space="preserve"> </w:t>
      </w:r>
      <w:r w:rsidR="003410B3">
        <w:t>зависит от количества основного компонента в составе, упаковки, производителя и начинается от 1500 рублей.</w:t>
      </w:r>
    </w:p>
    <w:p w:rsidR="003410B3" w:rsidRDefault="003410B3" w:rsidP="003410B3">
      <w:pPr>
        <w:pStyle w:val="3"/>
      </w:pPr>
      <w:r>
        <w:lastRenderedPageBreak/>
        <w:t>Условия хранения</w:t>
      </w:r>
    </w:p>
    <w:p w:rsidR="003410B3" w:rsidRDefault="003410B3" w:rsidP="003410B3">
      <w:r>
        <w:t xml:space="preserve">Хранить </w:t>
      </w:r>
      <w:r w:rsidR="000B0AEE" w:rsidRPr="000B0AEE">
        <w:t xml:space="preserve">препарат от давления </w:t>
      </w:r>
      <w:proofErr w:type="spellStart"/>
      <w:r w:rsidR="000B0AEE">
        <w:t>А</w:t>
      </w:r>
      <w:r w:rsidR="000B0AEE" w:rsidRPr="000B0AEE">
        <w:t>таканд</w:t>
      </w:r>
      <w:proofErr w:type="spellEnd"/>
      <w:r w:rsidR="000B0AEE" w:rsidRPr="000B0AEE">
        <w:t xml:space="preserve"> </w:t>
      </w:r>
      <w:r>
        <w:t>необходимо в недоступном для детей месте при температуре, не превышающей 30 градусов.</w:t>
      </w:r>
    </w:p>
    <w:p w:rsidR="003410B3" w:rsidRDefault="003410B3" w:rsidP="003410B3">
      <w:r>
        <w:t>Срок годности препарата составляет 3 года с даты изготовления. По истечению срока годности препарат использовать нельзя. Его необходимо утилизировать в соответствии с санитарными нормами.</w:t>
      </w:r>
    </w:p>
    <w:p w:rsidR="003410B3" w:rsidRDefault="003410B3" w:rsidP="003410B3">
      <w:pPr>
        <w:pStyle w:val="2"/>
      </w:pPr>
      <w:r>
        <w:t>Фармакодинамические свойства</w:t>
      </w:r>
    </w:p>
    <w:p w:rsidR="003410B3" w:rsidRDefault="003410B3" w:rsidP="003410B3">
      <w:r>
        <w:t>О</w:t>
      </w:r>
      <w:r w:rsidR="000E3A5B">
        <w:t xml:space="preserve">рганизм вырабатывает гормон </w:t>
      </w:r>
      <w:proofErr w:type="spellStart"/>
      <w:r w:rsidR="000E3A5B">
        <w:t>а</w:t>
      </w:r>
      <w:r>
        <w:t>нгиотензин</w:t>
      </w:r>
      <w:proofErr w:type="spellEnd"/>
      <w:r>
        <w:t xml:space="preserve"> 2, который контролирует клеточное развитие и водно-солевой обмен. При угрозе жизни человека из-за обильной кровопотери, </w:t>
      </w:r>
      <w:r w:rsidR="000E3A5B">
        <w:t xml:space="preserve">низкого содержания глюкозы в крови гормон </w:t>
      </w:r>
      <w:r>
        <w:t>сужает стенки сосудов</w:t>
      </w:r>
      <w:r w:rsidR="000E3A5B">
        <w:t>.</w:t>
      </w:r>
    </w:p>
    <w:p w:rsidR="000E3A5B" w:rsidRDefault="000E3A5B" w:rsidP="003410B3">
      <w:r>
        <w:t>Если происходят нарушения в выработке гормона, сосуды постоянно находятся в расширенном или суженном состоянии, что приводит к повышению или понижению показателей артериального давления.</w:t>
      </w:r>
    </w:p>
    <w:p w:rsidR="000E3A5B" w:rsidRDefault="000E3A5B" w:rsidP="003410B3">
      <w:proofErr w:type="spellStart"/>
      <w:r>
        <w:t>Атаканд</w:t>
      </w:r>
      <w:proofErr w:type="spellEnd"/>
      <w:r>
        <w:t xml:space="preserve"> </w:t>
      </w:r>
      <w:r>
        <w:t>б</w:t>
      </w:r>
      <w:r w:rsidRPr="00270EC8">
        <w:t>лок</w:t>
      </w:r>
      <w:r>
        <w:t>ирует активные</w:t>
      </w:r>
      <w:r w:rsidRPr="00270EC8">
        <w:t xml:space="preserve"> рецептор</w:t>
      </w:r>
      <w:r>
        <w:t>ы</w:t>
      </w:r>
      <w:r w:rsidRPr="00270EC8">
        <w:t xml:space="preserve"> </w:t>
      </w:r>
      <w:proofErr w:type="spellStart"/>
      <w:r w:rsidRPr="00270EC8">
        <w:t>ангиотензина</w:t>
      </w:r>
      <w:proofErr w:type="spellEnd"/>
      <w:r>
        <w:t xml:space="preserve"> 2 выборочно, что приводит к мягкому понижению показателей давления. Препарат </w:t>
      </w:r>
      <w:proofErr w:type="spellStart"/>
      <w:r>
        <w:t>Атаканд</w:t>
      </w:r>
      <w:proofErr w:type="spellEnd"/>
      <w:r>
        <w:t xml:space="preserve"> от давления редко приводит к развитию побочных реакций, поэтому он стоит на первом месте у врачей по назначению при гипертонической болезни.</w:t>
      </w:r>
    </w:p>
    <w:p w:rsidR="000E3A5B" w:rsidRDefault="000E3A5B" w:rsidP="003410B3">
      <w:r>
        <w:t xml:space="preserve">Механизм действия </w:t>
      </w:r>
      <w:proofErr w:type="spellStart"/>
      <w:r>
        <w:t>Атаканда</w:t>
      </w:r>
      <w:proofErr w:type="spellEnd"/>
      <w:r>
        <w:t xml:space="preserve"> при</w:t>
      </w:r>
      <w:r w:rsidR="00F57AB6" w:rsidRPr="00F57AB6">
        <w:t xml:space="preserve"> высоком </w:t>
      </w:r>
      <w:r>
        <w:t>давлении:</w:t>
      </w:r>
    </w:p>
    <w:p w:rsidR="000E3A5B" w:rsidRDefault="000E3A5B" w:rsidP="000E3A5B">
      <w:pPr>
        <w:pStyle w:val="a4"/>
        <w:numPr>
          <w:ilvl w:val="0"/>
          <w:numId w:val="11"/>
        </w:numPr>
      </w:pPr>
      <w:r>
        <w:t xml:space="preserve">препарат активирует </w:t>
      </w:r>
      <w:proofErr w:type="spellStart"/>
      <w:r>
        <w:t>ангиотензиногеназу</w:t>
      </w:r>
      <w:proofErr w:type="spellEnd"/>
      <w:r>
        <w:t xml:space="preserve">, которая сужает стенки сосудов при помощи гормона </w:t>
      </w:r>
      <w:proofErr w:type="spellStart"/>
      <w:r>
        <w:t>ангиотензин</w:t>
      </w:r>
      <w:proofErr w:type="spellEnd"/>
      <w:r>
        <w:t xml:space="preserve"> 2;</w:t>
      </w:r>
    </w:p>
    <w:p w:rsidR="000E3A5B" w:rsidRDefault="000E3A5B" w:rsidP="000E3A5B">
      <w:pPr>
        <w:pStyle w:val="a4"/>
        <w:numPr>
          <w:ilvl w:val="0"/>
          <w:numId w:val="11"/>
        </w:numPr>
      </w:pPr>
      <w:proofErr w:type="spellStart"/>
      <w:r>
        <w:t>ангиотензин</w:t>
      </w:r>
      <w:proofErr w:type="spellEnd"/>
      <w:r>
        <w:t xml:space="preserve"> 2 понижает уровень альдостерона;</w:t>
      </w:r>
    </w:p>
    <w:p w:rsidR="000E3A5B" w:rsidRDefault="000E3A5B" w:rsidP="000E3A5B">
      <w:pPr>
        <w:pStyle w:val="a4"/>
        <w:numPr>
          <w:ilvl w:val="0"/>
          <w:numId w:val="11"/>
        </w:numPr>
      </w:pPr>
      <w:r>
        <w:t>альдостерон меньше вырабатывается и не приводит к повышению давления;</w:t>
      </w:r>
    </w:p>
    <w:p w:rsidR="000E3A5B" w:rsidRDefault="000E3A5B" w:rsidP="000E3A5B">
      <w:pPr>
        <w:pStyle w:val="a4"/>
        <w:numPr>
          <w:ilvl w:val="0"/>
          <w:numId w:val="11"/>
        </w:numPr>
      </w:pPr>
      <w:r>
        <w:t>давление постепенно понижается до нормальных показателей.</w:t>
      </w:r>
    </w:p>
    <w:p w:rsidR="000E3A5B" w:rsidRDefault="000E3A5B" w:rsidP="000E3A5B">
      <w:pPr>
        <w:pStyle w:val="2"/>
      </w:pPr>
      <w:r>
        <w:t>Фармакокинетические свойства</w:t>
      </w:r>
    </w:p>
    <w:p w:rsidR="004B6119" w:rsidRDefault="004B6119" w:rsidP="004B6119">
      <w:r>
        <w:t xml:space="preserve">Таблетки </w:t>
      </w:r>
      <w:proofErr w:type="spellStart"/>
      <w:r>
        <w:t>Атаканд</w:t>
      </w:r>
      <w:proofErr w:type="spellEnd"/>
      <w:r>
        <w:t xml:space="preserve"> принимают перорально. После приема медикамент попадает в желудок, где расщепляется на отдельные компоненты под действием желудочного сока. Часть активных метаболитов попадает в кровеносную систему, а часть расщепляется и отправляется в почки.</w:t>
      </w:r>
    </w:p>
    <w:p w:rsidR="004B6119" w:rsidRDefault="004B6119" w:rsidP="004B6119">
      <w:r>
        <w:t>Препарат быстро всасывается и медленно распадается. Максимальное содержание достигается спустя 4 часа после приема. Степень и скорость достижения максимальной концентрации не зависит от возраста, пола или еды. Компоненты не задерживаются в тканях и не образуют метаболиты в печени.</w:t>
      </w:r>
    </w:p>
    <w:p w:rsidR="004B6119" w:rsidRDefault="004B6119" w:rsidP="004B6119">
      <w:r>
        <w:t>При почечных нарушениях время полувыведения препарата замедляется в два раза.</w:t>
      </w:r>
    </w:p>
    <w:p w:rsidR="004B6119" w:rsidRDefault="004B6119" w:rsidP="004B6119">
      <w:pPr>
        <w:pStyle w:val="2"/>
      </w:pPr>
      <w:r>
        <w:t xml:space="preserve">Показания к применению </w:t>
      </w:r>
      <w:proofErr w:type="spellStart"/>
      <w:r>
        <w:t>Атаканда</w:t>
      </w:r>
      <w:proofErr w:type="spellEnd"/>
    </w:p>
    <w:p w:rsidR="004B6119" w:rsidRDefault="004B6119" w:rsidP="004B6119">
      <w:r>
        <w:t xml:space="preserve">Врачи прописывают </w:t>
      </w:r>
      <w:proofErr w:type="spellStart"/>
      <w:r w:rsidR="000B0AEE">
        <w:t>А</w:t>
      </w:r>
      <w:r w:rsidR="000B0AEE" w:rsidRPr="000B0AEE">
        <w:t>таканд</w:t>
      </w:r>
      <w:proofErr w:type="spellEnd"/>
      <w:r w:rsidR="000B0AEE" w:rsidRPr="000B0AEE">
        <w:t xml:space="preserve"> для снижения давления </w:t>
      </w:r>
      <w:r>
        <w:t>при:</w:t>
      </w:r>
    </w:p>
    <w:p w:rsidR="004B6119" w:rsidRDefault="004B6119" w:rsidP="004B6119">
      <w:pPr>
        <w:pStyle w:val="a4"/>
        <w:numPr>
          <w:ilvl w:val="0"/>
          <w:numId w:val="12"/>
        </w:numPr>
      </w:pPr>
      <w:r>
        <w:t>гипертензии;</w:t>
      </w:r>
    </w:p>
    <w:p w:rsidR="004B6119" w:rsidRDefault="004B6119" w:rsidP="004B6119">
      <w:pPr>
        <w:pStyle w:val="a4"/>
        <w:numPr>
          <w:ilvl w:val="0"/>
          <w:numId w:val="12"/>
        </w:numPr>
      </w:pPr>
      <w:r>
        <w:t>дисфункции левого желудочка;</w:t>
      </w:r>
    </w:p>
    <w:p w:rsidR="004B6119" w:rsidRDefault="000B0AEE" w:rsidP="000B0AEE">
      <w:pPr>
        <w:pStyle w:val="a4"/>
        <w:numPr>
          <w:ilvl w:val="0"/>
          <w:numId w:val="12"/>
        </w:numPr>
      </w:pPr>
      <w:r w:rsidRPr="000B0AEE">
        <w:lastRenderedPageBreak/>
        <w:t>хроническ</w:t>
      </w:r>
      <w:r>
        <w:t xml:space="preserve">ой </w:t>
      </w:r>
      <w:r w:rsidRPr="000B0AEE">
        <w:t>сердечн</w:t>
      </w:r>
      <w:r>
        <w:t>ой</w:t>
      </w:r>
      <w:r w:rsidRPr="000B0AEE">
        <w:t xml:space="preserve"> недостаточност</w:t>
      </w:r>
      <w:r>
        <w:t>и</w:t>
      </w:r>
      <w:r w:rsidR="004B6119" w:rsidRPr="000B0AEE">
        <w:t>.</w:t>
      </w:r>
    </w:p>
    <w:p w:rsidR="004B6119" w:rsidRDefault="00F57AB6" w:rsidP="004B6119">
      <w:r>
        <w:t>Пр</w:t>
      </w:r>
      <w:r w:rsidRPr="00F57AB6">
        <w:t xml:space="preserve">инимать </w:t>
      </w:r>
      <w:proofErr w:type="spellStart"/>
      <w:r>
        <w:t>А</w:t>
      </w:r>
      <w:r w:rsidRPr="00F57AB6">
        <w:t>таканд</w:t>
      </w:r>
      <w:proofErr w:type="spellEnd"/>
      <w:r w:rsidRPr="00F57AB6">
        <w:t xml:space="preserve"> при давлении </w:t>
      </w:r>
      <w:r>
        <w:t>можно</w:t>
      </w:r>
      <w:r w:rsidR="004B6119">
        <w:t xml:space="preserve"> в качестве </w:t>
      </w:r>
      <w:proofErr w:type="spellStart"/>
      <w:r w:rsidR="004B6119">
        <w:t>моносредства</w:t>
      </w:r>
      <w:proofErr w:type="spellEnd"/>
      <w:r w:rsidR="004B6119">
        <w:t xml:space="preserve"> </w:t>
      </w:r>
      <w:r>
        <w:t xml:space="preserve">или </w:t>
      </w:r>
      <w:r w:rsidR="004B6119">
        <w:t>в комплексе с другими препаратами.</w:t>
      </w:r>
    </w:p>
    <w:p w:rsidR="004B6119" w:rsidRDefault="004B6119" w:rsidP="004B6119">
      <w:pPr>
        <w:pStyle w:val="2"/>
      </w:pPr>
      <w:r>
        <w:t>Противопоказания к применению</w:t>
      </w:r>
    </w:p>
    <w:p w:rsidR="004B6119" w:rsidRDefault="004B6119" w:rsidP="004B6119">
      <w:r>
        <w:t xml:space="preserve">Перед приемом препарата </w:t>
      </w:r>
      <w:proofErr w:type="spellStart"/>
      <w:r>
        <w:t>Атаканд</w:t>
      </w:r>
      <w:proofErr w:type="spellEnd"/>
      <w:r>
        <w:t xml:space="preserve"> пациент должен обязательно ознакомиться со списком противопоказаний, так как ограничений </w:t>
      </w:r>
      <w:r w:rsidR="00AB569F">
        <w:t xml:space="preserve">для назначения таблеток от давления </w:t>
      </w:r>
      <w:r>
        <w:t>много:</w:t>
      </w:r>
    </w:p>
    <w:p w:rsidR="004B6119" w:rsidRDefault="00AB569F" w:rsidP="004B6119">
      <w:pPr>
        <w:pStyle w:val="a4"/>
        <w:numPr>
          <w:ilvl w:val="0"/>
          <w:numId w:val="13"/>
        </w:numPr>
      </w:pPr>
      <w:r>
        <w:t>повышенная восприимчивость к компонентам препарата;</w:t>
      </w:r>
    </w:p>
    <w:p w:rsidR="00AB569F" w:rsidRDefault="00AB569F" w:rsidP="004B6119">
      <w:pPr>
        <w:pStyle w:val="a4"/>
        <w:numPr>
          <w:ilvl w:val="0"/>
          <w:numId w:val="13"/>
        </w:numPr>
      </w:pPr>
      <w:r>
        <w:t>детям, не достигшим 18-ти лет;</w:t>
      </w:r>
    </w:p>
    <w:p w:rsidR="00AB569F" w:rsidRDefault="00AB569F" w:rsidP="004B6119">
      <w:pPr>
        <w:pStyle w:val="a4"/>
        <w:numPr>
          <w:ilvl w:val="0"/>
          <w:numId w:val="13"/>
        </w:numPr>
      </w:pPr>
      <w:r>
        <w:t>период вынашивания ребенка;</w:t>
      </w:r>
    </w:p>
    <w:p w:rsidR="00AB569F" w:rsidRDefault="00AB569F" w:rsidP="004B6119">
      <w:pPr>
        <w:pStyle w:val="a4"/>
        <w:numPr>
          <w:ilvl w:val="0"/>
          <w:numId w:val="13"/>
        </w:numPr>
      </w:pPr>
      <w:r>
        <w:t>период грудного вскармливания;</w:t>
      </w:r>
    </w:p>
    <w:p w:rsidR="00AB569F" w:rsidRDefault="00AB569F" w:rsidP="00AB569F">
      <w:pPr>
        <w:pStyle w:val="a4"/>
        <w:numPr>
          <w:ilvl w:val="0"/>
          <w:numId w:val="13"/>
        </w:numPr>
      </w:pPr>
      <w:r w:rsidRPr="00AB569F">
        <w:t xml:space="preserve">уменьшение </w:t>
      </w:r>
      <w:r>
        <w:t>от</w:t>
      </w:r>
      <w:r w:rsidRPr="00AB569F">
        <w:t>тока желчи</w:t>
      </w:r>
      <w:r>
        <w:t>;</w:t>
      </w:r>
    </w:p>
    <w:p w:rsidR="00AB569F" w:rsidRDefault="00AB569F" w:rsidP="00AB569F">
      <w:pPr>
        <w:pStyle w:val="a4"/>
        <w:numPr>
          <w:ilvl w:val="0"/>
          <w:numId w:val="13"/>
        </w:numPr>
      </w:pPr>
      <w:r>
        <w:t>нарушения функций почек и печени;</w:t>
      </w:r>
    </w:p>
    <w:p w:rsidR="00AB569F" w:rsidRDefault="00AB569F" w:rsidP="00AB569F">
      <w:pPr>
        <w:pStyle w:val="a4"/>
        <w:numPr>
          <w:ilvl w:val="0"/>
          <w:numId w:val="13"/>
        </w:numPr>
      </w:pPr>
      <w:r>
        <w:t>гемодиализ.</w:t>
      </w:r>
    </w:p>
    <w:p w:rsidR="00AB569F" w:rsidRDefault="00AB569F" w:rsidP="00AB569F">
      <w:r>
        <w:t>С осторожностью необходимо принимать средство при: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 xml:space="preserve">изменении </w:t>
      </w:r>
      <w:r w:rsidRPr="00AB569F">
        <w:t>движени</w:t>
      </w:r>
      <w:r>
        <w:t>я</w:t>
      </w:r>
      <w:r w:rsidRPr="00AB569F">
        <w:t xml:space="preserve"> крови по сосудам</w:t>
      </w:r>
      <w:r>
        <w:t>, вызванном митральным или аортальным стенозом;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перенесенной трансплантации почек;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гипертрофии стенки левого или правого желудочка;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заболеваниях головного мозга с нарушением кровообращения;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закупорке артерий тромбами;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пониженном объеме циркулирующей крови;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ишемии;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циррозе печени;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перенесенном в течении года сердечном приступе;</w:t>
      </w:r>
    </w:p>
    <w:p w:rsidR="00AB569F" w:rsidRDefault="00AB569F" w:rsidP="00AB569F">
      <w:pPr>
        <w:pStyle w:val="a4"/>
        <w:numPr>
          <w:ilvl w:val="0"/>
          <w:numId w:val="14"/>
        </w:numPr>
      </w:pPr>
      <w:r w:rsidRPr="00AB569F">
        <w:t>синдром</w:t>
      </w:r>
      <w:r>
        <w:t>е</w:t>
      </w:r>
      <w:r w:rsidRPr="00AB569F">
        <w:t xml:space="preserve"> </w:t>
      </w:r>
      <w:proofErr w:type="spellStart"/>
      <w:r w:rsidRPr="00AB569F">
        <w:t>Конна</w:t>
      </w:r>
      <w:proofErr w:type="spellEnd"/>
      <w:r>
        <w:t>;</w:t>
      </w:r>
    </w:p>
    <w:p w:rsidR="00AB569F" w:rsidRDefault="00AB569F" w:rsidP="00AB569F">
      <w:pPr>
        <w:pStyle w:val="a4"/>
        <w:numPr>
          <w:ilvl w:val="0"/>
          <w:numId w:val="14"/>
        </w:numPr>
      </w:pPr>
      <w:r>
        <w:t>повышенном содержании калия в крови.</w:t>
      </w:r>
    </w:p>
    <w:p w:rsidR="00AB569F" w:rsidRDefault="00AB569F" w:rsidP="00AB569F">
      <w:pPr>
        <w:pStyle w:val="2"/>
      </w:pPr>
      <w:r>
        <w:t>Применение при беременности и лактации</w:t>
      </w:r>
    </w:p>
    <w:p w:rsidR="00034485" w:rsidRDefault="00AB569F" w:rsidP="00AB569F">
      <w:r>
        <w:t xml:space="preserve">Таблетки </w:t>
      </w:r>
      <w:proofErr w:type="spellStart"/>
      <w:r>
        <w:t>Атаканд</w:t>
      </w:r>
      <w:proofErr w:type="spellEnd"/>
      <w:r>
        <w:t xml:space="preserve"> нельзя принимать в период вынашивания ребенка, так как компоненты проникают через плацентарный барьер и оказывают негативное воздействие на развитие плода.</w:t>
      </w:r>
      <w:r w:rsidR="00034485">
        <w:t xml:space="preserve"> Прием таблеток может спровоцировать развитие врожденной почечной недостаточности у ребенка, отклонения в развитии черепа, гипертоническую болезнь. Если женщина узнала о беременности во время курсовой терапии, необходимо незамедлительно прекратить прием таблеток и сообщить об это лечащему врачу. В период прохождения терапии рекомендуется позаботиться о надежном методе контрацепции. Ребенок, выношенный в период приема препарата, должен находиться с рождения под постоянным наблюдением педиатра.</w:t>
      </w:r>
    </w:p>
    <w:p w:rsidR="00034485" w:rsidRDefault="00034485" w:rsidP="00AB569F">
      <w:r>
        <w:t xml:space="preserve">Компоненты таблеток от давления проникают в грудное молоко, поэтому необходимо воздержаться от грудного вскармливания в период курсового приема </w:t>
      </w:r>
      <w:proofErr w:type="spellStart"/>
      <w:r>
        <w:t>Атаканда</w:t>
      </w:r>
      <w:proofErr w:type="spellEnd"/>
      <w:r>
        <w:t>.</w:t>
      </w:r>
    </w:p>
    <w:p w:rsidR="00034485" w:rsidRDefault="00034485" w:rsidP="00034485">
      <w:pPr>
        <w:pStyle w:val="2"/>
      </w:pPr>
      <w:r>
        <w:t>Способ применения</w:t>
      </w:r>
    </w:p>
    <w:p w:rsidR="00034485" w:rsidRDefault="00034485" w:rsidP="00034485">
      <w:r>
        <w:lastRenderedPageBreak/>
        <w:t xml:space="preserve">Препарат </w:t>
      </w:r>
      <w:proofErr w:type="spellStart"/>
      <w:r>
        <w:t>Атаканд</w:t>
      </w:r>
      <w:proofErr w:type="spellEnd"/>
      <w:r>
        <w:t xml:space="preserve"> выпускается в форме таблеток, что облегчает его применение. Таблетки с пролонгированным действием принимают 1 раз в день. Принимать таблетки нужно целиком, запивая достаточным количеством воды. Для минимальной дозировки таблетку можно разделить пополам по риске.</w:t>
      </w:r>
    </w:p>
    <w:p w:rsidR="00034485" w:rsidRDefault="00034485" w:rsidP="00034485">
      <w:r>
        <w:t>Принимать препарат от давления необходимо только с разрешения лечащего врача, который составит индивидуальный график приема и укажет суточную дозировку. Необходимо точно следовать схеме лечения, чтобы</w:t>
      </w:r>
      <w:r w:rsidR="00852952">
        <w:t xml:space="preserve"> получить максимальный эффект. </w:t>
      </w:r>
      <w:r w:rsidR="000B0AEE">
        <w:t xml:space="preserve">Пить при давлении </w:t>
      </w:r>
      <w:proofErr w:type="spellStart"/>
      <w:r w:rsidR="000B0AEE">
        <w:t>А</w:t>
      </w:r>
      <w:r w:rsidR="000B0AEE" w:rsidRPr="000B0AEE">
        <w:t>таканд</w:t>
      </w:r>
      <w:proofErr w:type="spellEnd"/>
      <w:r w:rsidR="000B0AEE" w:rsidRPr="000B0AEE">
        <w:t xml:space="preserve"> </w:t>
      </w:r>
      <w:r w:rsidR="00852952">
        <w:t>рекомендуется в одно и то же время независимо от приема пищи.</w:t>
      </w:r>
    </w:p>
    <w:p w:rsidR="00852952" w:rsidRDefault="00852952" w:rsidP="00034485">
      <w:r w:rsidRPr="00852952">
        <w:rPr>
          <w:highlight w:val="cyan"/>
        </w:rPr>
        <w:t xml:space="preserve">Общих рекомендаций по дозировке или продолжительности терапии </w:t>
      </w:r>
      <w:proofErr w:type="spellStart"/>
      <w:r w:rsidRPr="00852952">
        <w:rPr>
          <w:highlight w:val="cyan"/>
        </w:rPr>
        <w:t>Атаканд</w:t>
      </w:r>
      <w:r w:rsidR="000B0AEE">
        <w:rPr>
          <w:highlight w:val="cyan"/>
        </w:rPr>
        <w:t>ом</w:t>
      </w:r>
      <w:proofErr w:type="spellEnd"/>
      <w:r w:rsidRPr="00852952">
        <w:rPr>
          <w:highlight w:val="cyan"/>
        </w:rPr>
        <w:t xml:space="preserve"> при </w:t>
      </w:r>
      <w:r w:rsidR="000B0AEE" w:rsidRPr="000B0AEE">
        <w:rPr>
          <w:highlight w:val="cyan"/>
        </w:rPr>
        <w:t xml:space="preserve">повышенном </w:t>
      </w:r>
      <w:r w:rsidRPr="000B0AEE">
        <w:rPr>
          <w:highlight w:val="cyan"/>
        </w:rPr>
        <w:t>д</w:t>
      </w:r>
      <w:r w:rsidRPr="00852952">
        <w:rPr>
          <w:highlight w:val="cyan"/>
        </w:rPr>
        <w:t>авлении нет. Лечащий врач назначает схему лечения после обследования, сбора анализов и определения клинической картины заболевания.</w:t>
      </w:r>
    </w:p>
    <w:p w:rsidR="00852952" w:rsidRDefault="00852952" w:rsidP="00852952">
      <w:pPr>
        <w:pStyle w:val="3"/>
      </w:pPr>
      <w:r>
        <w:t>Лечение гипертонии и высокого давления</w:t>
      </w:r>
    </w:p>
    <w:p w:rsidR="00852952" w:rsidRDefault="00852952" w:rsidP="00852952">
      <w:r>
        <w:t>В инструкции по применению</w:t>
      </w:r>
      <w:r w:rsidR="00F57AB6">
        <w:t xml:space="preserve"> </w:t>
      </w:r>
      <w:proofErr w:type="spellStart"/>
      <w:r w:rsidR="00F57AB6">
        <w:t>А</w:t>
      </w:r>
      <w:r w:rsidR="00F57AB6" w:rsidRPr="00F57AB6">
        <w:t>таканда</w:t>
      </w:r>
      <w:proofErr w:type="spellEnd"/>
      <w:r w:rsidRPr="00F57AB6">
        <w:t xml:space="preserve"> </w:t>
      </w:r>
      <w:r>
        <w:t>приведены общие сведени</w:t>
      </w:r>
      <w:r w:rsidR="000B0AEE">
        <w:t>я о препарате и порядке приема</w:t>
      </w:r>
      <w:r>
        <w:t xml:space="preserve">. </w:t>
      </w:r>
      <w:r w:rsidR="000B0AEE">
        <w:t xml:space="preserve">Чтобы </w:t>
      </w:r>
      <w:r w:rsidR="000B0AEE" w:rsidRPr="000B0AEE">
        <w:t xml:space="preserve">снизить давление </w:t>
      </w:r>
      <w:proofErr w:type="spellStart"/>
      <w:r w:rsidR="000B0AEE">
        <w:t>А</w:t>
      </w:r>
      <w:r w:rsidR="000B0AEE" w:rsidRPr="000B0AEE">
        <w:t>такандом</w:t>
      </w:r>
      <w:proofErr w:type="spellEnd"/>
      <w:r w:rsidR="000B0AEE">
        <w:t>, р</w:t>
      </w:r>
      <w:r>
        <w:t>екомендуется начинать прием с минимальной дозировки, которая составляет 4 мг в сутки или половину таблетки.</w:t>
      </w:r>
    </w:p>
    <w:p w:rsidR="00852952" w:rsidRDefault="00852952" w:rsidP="00852952">
      <w:r>
        <w:t>Врач назначает дозировку для лечения гипертонии после отслеживания динамики показателей давления. Чем выше дозировка</w:t>
      </w:r>
      <w:r w:rsidR="00F57AB6">
        <w:t xml:space="preserve"> </w:t>
      </w:r>
      <w:proofErr w:type="spellStart"/>
      <w:r w:rsidR="00F57AB6">
        <w:t>Атаканда</w:t>
      </w:r>
      <w:proofErr w:type="spellEnd"/>
      <w:r>
        <w:t xml:space="preserve">, тем </w:t>
      </w:r>
      <w:proofErr w:type="spellStart"/>
      <w:r>
        <w:t>выраженнее</w:t>
      </w:r>
      <w:proofErr w:type="spellEnd"/>
      <w:r>
        <w:t xml:space="preserve"> будет </w:t>
      </w:r>
      <w:proofErr w:type="spellStart"/>
      <w:r>
        <w:t>антигипертензивное</w:t>
      </w:r>
      <w:proofErr w:type="spellEnd"/>
      <w:r>
        <w:t xml:space="preserve"> действие. Препарат обладает пролонгированным эффектом, поэтому действия одной таблетки от давления хватает на сутки.</w:t>
      </w:r>
    </w:p>
    <w:p w:rsidR="00852952" w:rsidRDefault="00852952" w:rsidP="00852952">
      <w:proofErr w:type="spellStart"/>
      <w:r>
        <w:t>Атаканд</w:t>
      </w:r>
      <w:proofErr w:type="spellEnd"/>
      <w:r w:rsidR="000B0AEE" w:rsidRPr="000B0AEE">
        <w:t xml:space="preserve"> </w:t>
      </w:r>
      <w:r w:rsidR="00F57AB6">
        <w:t>понижает давление</w:t>
      </w:r>
      <w:r>
        <w:t>, не оказывая негативного действия на сердце и сосуды.</w:t>
      </w:r>
    </w:p>
    <w:p w:rsidR="001F50F8" w:rsidRDefault="001F50F8" w:rsidP="00852952">
      <w:r>
        <w:t xml:space="preserve">Результаты исследования действия таблеток </w:t>
      </w:r>
      <w:proofErr w:type="spellStart"/>
      <w:r>
        <w:t>Атаканд</w:t>
      </w:r>
      <w:proofErr w:type="spellEnd"/>
      <w:r>
        <w:t xml:space="preserve"> </w:t>
      </w:r>
      <w:r w:rsidR="000B0AEE">
        <w:t>при гипертонии</w:t>
      </w:r>
      <w:r>
        <w:t>:</w:t>
      </w:r>
    </w:p>
    <w:p w:rsidR="001F50F8" w:rsidRDefault="001F50F8" w:rsidP="001F50F8">
      <w:pPr>
        <w:pStyle w:val="a4"/>
        <w:numPr>
          <w:ilvl w:val="0"/>
          <w:numId w:val="15"/>
        </w:numPr>
      </w:pPr>
      <w:r>
        <w:t>Препарат не вызывает привыкания, синдром отмены отсутствует.</w:t>
      </w:r>
    </w:p>
    <w:p w:rsidR="001F50F8" w:rsidRDefault="001F50F8" w:rsidP="001F50F8">
      <w:pPr>
        <w:pStyle w:val="a4"/>
        <w:numPr>
          <w:ilvl w:val="0"/>
          <w:numId w:val="15"/>
        </w:numPr>
      </w:pPr>
      <w:r>
        <w:t>При приеме таблеток давление понижается постепенно, резкие перепады отсутствуют.</w:t>
      </w:r>
    </w:p>
    <w:p w:rsidR="001F50F8" w:rsidRDefault="001F50F8" w:rsidP="001F50F8">
      <w:pPr>
        <w:pStyle w:val="a4"/>
        <w:numPr>
          <w:ilvl w:val="0"/>
          <w:numId w:val="15"/>
        </w:numPr>
      </w:pPr>
      <w:r>
        <w:t>Прием препарата от давления не провоцирует гипотонию.</w:t>
      </w:r>
    </w:p>
    <w:p w:rsidR="001F50F8" w:rsidRDefault="001F50F8" w:rsidP="001F50F8">
      <w:pPr>
        <w:pStyle w:val="a4"/>
        <w:numPr>
          <w:ilvl w:val="0"/>
          <w:numId w:val="15"/>
        </w:numPr>
      </w:pPr>
      <w:r>
        <w:t>Давление начинает понижаться спустя 2 часа после приема.</w:t>
      </w:r>
    </w:p>
    <w:p w:rsidR="001F50F8" w:rsidRDefault="001F50F8" w:rsidP="001F50F8">
      <w:r w:rsidRPr="001F50F8">
        <w:rPr>
          <w:highlight w:val="cyan"/>
        </w:rPr>
        <w:t>Несмотря на отсутствие синдрома отмены, нельзя завершать терапию раньше назначенного срока. Необходимо полностью следовать схеме лечения, назначенной лечащим врачом.</w:t>
      </w:r>
    </w:p>
    <w:p w:rsidR="001F50F8" w:rsidRDefault="001F50F8" w:rsidP="001F50F8">
      <w:r>
        <w:t xml:space="preserve">Выраженный эффект от приема препарата </w:t>
      </w:r>
      <w:proofErr w:type="spellStart"/>
      <w:r>
        <w:t>Атаканд</w:t>
      </w:r>
      <w:proofErr w:type="spellEnd"/>
      <w:r>
        <w:t xml:space="preserve"> от давления будет заметен спустя месяц. Дозировка корректируется после месячного наблюдения за состоянием пациента и показателями давления.</w:t>
      </w:r>
    </w:p>
    <w:p w:rsidR="001F50F8" w:rsidRDefault="001F50F8" w:rsidP="001F50F8">
      <w:r>
        <w:t xml:space="preserve">Чтобы добиться эффекта от приема средства при давлении быстрее, необходимо прибегнуть к комплексной терапии. Врач назначает таблетки </w:t>
      </w:r>
      <w:proofErr w:type="spellStart"/>
      <w:r>
        <w:t>Атаканд</w:t>
      </w:r>
      <w:proofErr w:type="spellEnd"/>
      <w:r>
        <w:t xml:space="preserve"> с мочегонными препаратами. Диуретики выводят лишнюю воду из организма, снимают отечность тканей, понижают показатели давления сразу. При нарушениях функций почек комплексное применение препаратов может спровоцировать интоксикацию.</w:t>
      </w:r>
    </w:p>
    <w:p w:rsidR="001F50F8" w:rsidRDefault="001F50F8" w:rsidP="001F50F8">
      <w:pPr>
        <w:pStyle w:val="3"/>
      </w:pPr>
      <w:r>
        <w:t>Лечение хронической сердечной недостаточности</w:t>
      </w:r>
    </w:p>
    <w:p w:rsidR="001F50F8" w:rsidRDefault="001F50F8" w:rsidP="001F50F8">
      <w:r>
        <w:t xml:space="preserve">Перед назначением таблеток </w:t>
      </w:r>
      <w:proofErr w:type="spellStart"/>
      <w:r>
        <w:t>Атаканд</w:t>
      </w:r>
      <w:proofErr w:type="spellEnd"/>
      <w:r>
        <w:t xml:space="preserve"> для терапии ХСН врач проводит комплексное обследование, корректирует дозу и продолжительность терапии. Минимальная суточная дозировка при ХСН составляет 4 мг или половина таблетки.</w:t>
      </w:r>
    </w:p>
    <w:p w:rsidR="001F50F8" w:rsidRDefault="001F50F8" w:rsidP="001F50F8">
      <w:r>
        <w:lastRenderedPageBreak/>
        <w:t xml:space="preserve">Препарат при ХСН принимают два раза в день: утром и вечером. Необходимо следить за временем приема таблеток, так как оно должно быть всегда одинаковое. При нормальной реакции организма на компоненты препарата врач может повысить дозировку через 14 дней от начала терапии. </w:t>
      </w:r>
      <w:r w:rsidR="00202361">
        <w:t>Дозировка увеличивается каждый раз с интервалом в две недели в два раза. Максимальная суточная доза составляет 32 мг.</w:t>
      </w:r>
    </w:p>
    <w:p w:rsidR="00202361" w:rsidRDefault="00202361" w:rsidP="001F50F8">
      <w:r>
        <w:t>При появлении побочных реакций, нарушениях в работе почек, рецидивах, врач корректирует дозировку и продолжительность терапии.</w:t>
      </w:r>
    </w:p>
    <w:p w:rsidR="00202361" w:rsidRDefault="00202361" w:rsidP="001F50F8">
      <w:r w:rsidRPr="00202361">
        <w:rPr>
          <w:highlight w:val="cyan"/>
        </w:rPr>
        <w:t xml:space="preserve">При хронической недостаточности сердца препарат </w:t>
      </w:r>
      <w:proofErr w:type="spellStart"/>
      <w:r w:rsidRPr="00202361">
        <w:rPr>
          <w:highlight w:val="cyan"/>
        </w:rPr>
        <w:t>Атаканд</w:t>
      </w:r>
      <w:proofErr w:type="spellEnd"/>
      <w:r w:rsidRPr="00202361">
        <w:rPr>
          <w:highlight w:val="cyan"/>
        </w:rPr>
        <w:t xml:space="preserve"> обычно назначают в комплексе с другими лекарствами. </w:t>
      </w:r>
      <w:proofErr w:type="spellStart"/>
      <w:r w:rsidRPr="00202361">
        <w:rPr>
          <w:highlight w:val="cyan"/>
        </w:rPr>
        <w:t>Монотерапия</w:t>
      </w:r>
      <w:proofErr w:type="spellEnd"/>
      <w:r w:rsidRPr="00202361">
        <w:rPr>
          <w:highlight w:val="cyan"/>
        </w:rPr>
        <w:t xml:space="preserve"> результатов не принесет. При составлении комплекса врач учитывает совместимость средств, чтобы исключить интоксикацию и развитие побочных реакций.</w:t>
      </w:r>
    </w:p>
    <w:p w:rsidR="00202361" w:rsidRDefault="00202361" w:rsidP="00202361">
      <w:pPr>
        <w:pStyle w:val="2"/>
      </w:pPr>
      <w:r>
        <w:t>Рекомендации и особые указания</w:t>
      </w:r>
    </w:p>
    <w:p w:rsidR="00202361" w:rsidRDefault="000B0AEE" w:rsidP="00202361">
      <w:r>
        <w:t>Л</w:t>
      </w:r>
      <w:r w:rsidRPr="000B0AEE">
        <w:t xml:space="preserve">екарство от давления </w:t>
      </w:r>
      <w:proofErr w:type="spellStart"/>
      <w:r>
        <w:t>А</w:t>
      </w:r>
      <w:r w:rsidRPr="000B0AEE">
        <w:t>таканд</w:t>
      </w:r>
      <w:proofErr w:type="spellEnd"/>
      <w:r w:rsidRPr="000B0AEE">
        <w:t xml:space="preserve"> </w:t>
      </w:r>
      <w:r w:rsidR="00202361">
        <w:t xml:space="preserve">может оказывать негативное действие на почки, поэтому необходимо следить за показателями органа на протяжении курса терапии таблетками </w:t>
      </w:r>
      <w:proofErr w:type="spellStart"/>
      <w:r w:rsidR="00202361">
        <w:t>Атаканд</w:t>
      </w:r>
      <w:proofErr w:type="spellEnd"/>
      <w:r w:rsidR="00202361">
        <w:t>.</w:t>
      </w:r>
    </w:p>
    <w:p w:rsidR="00202361" w:rsidRDefault="00202361" w:rsidP="00202361">
      <w:r>
        <w:t>Ингибиторы</w:t>
      </w:r>
      <w:r w:rsidRPr="00202361">
        <w:t xml:space="preserve"> </w:t>
      </w:r>
      <w:proofErr w:type="spellStart"/>
      <w:r w:rsidRPr="00202361">
        <w:t>ангиотензинпревращающего</w:t>
      </w:r>
      <w:proofErr w:type="spellEnd"/>
      <w:r w:rsidRPr="00202361">
        <w:t xml:space="preserve"> фермента</w:t>
      </w:r>
      <w:r>
        <w:t xml:space="preserve"> в сочетании с </w:t>
      </w:r>
      <w:proofErr w:type="spellStart"/>
      <w:r>
        <w:t>Атакандом</w:t>
      </w:r>
      <w:proofErr w:type="spellEnd"/>
      <w:r>
        <w:t xml:space="preserve"> могут спровоцировать развитие осложнений со стороны работы сердечно-сосудистой системы и почек. Принимать лекарства в комплексе рекомендовано при стационарном пребывании.</w:t>
      </w:r>
    </w:p>
    <w:p w:rsidR="00202361" w:rsidRDefault="00202361" w:rsidP="00202361">
      <w:r>
        <w:t xml:space="preserve">Пациенты, принимающие </w:t>
      </w:r>
      <w:proofErr w:type="spellStart"/>
      <w:r>
        <w:t>Атаканд</w:t>
      </w:r>
      <w:proofErr w:type="spellEnd"/>
      <w:r>
        <w:t xml:space="preserve">, должны сообщить врачу о таблетках перед хирургическим вмешательством. Общий или местный наркоз в сочетании с таблетками </w:t>
      </w:r>
      <w:proofErr w:type="spellStart"/>
      <w:r>
        <w:t>Атаканд</w:t>
      </w:r>
      <w:proofErr w:type="spellEnd"/>
      <w:r>
        <w:t xml:space="preserve"> могут привести к резкому понижению показателей давления до критических значений.</w:t>
      </w:r>
    </w:p>
    <w:p w:rsidR="00202361" w:rsidRDefault="00202361" w:rsidP="00202361">
      <w:r>
        <w:t xml:space="preserve">Препарат от давления </w:t>
      </w:r>
      <w:proofErr w:type="spellStart"/>
      <w:r>
        <w:t>Атаканд</w:t>
      </w:r>
      <w:proofErr w:type="spellEnd"/>
      <w:r>
        <w:t xml:space="preserve"> не оказывает негативного воздействия на психомоторные реакции, поэтому пациенту разрешено управлять транспортом или выполнять работу, требующую концентрацию внимания.</w:t>
      </w:r>
    </w:p>
    <w:p w:rsidR="00202361" w:rsidRDefault="00202361" w:rsidP="00202361">
      <w:pPr>
        <w:pStyle w:val="2"/>
      </w:pPr>
      <w:r>
        <w:t>Побочные эффекты</w:t>
      </w:r>
    </w:p>
    <w:p w:rsidR="00202361" w:rsidRDefault="00202361" w:rsidP="00202361">
      <w:r>
        <w:t xml:space="preserve">При использовании таблеток </w:t>
      </w:r>
      <w:proofErr w:type="spellStart"/>
      <w:r>
        <w:t>Атаканд</w:t>
      </w:r>
      <w:proofErr w:type="spellEnd"/>
      <w:r>
        <w:t xml:space="preserve"> от давления побочные эффекты проявляются редко. Основные негативные реакции организма: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гипотония;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боли в голове;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вестибулярные нарушения;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боли в спинном отделе;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снижение иммунитета;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малокровие;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понижение содержания натрия в крови;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повышение содержания калия в крови;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нарушение функций почек;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 xml:space="preserve">повышение уровня </w:t>
      </w:r>
      <w:proofErr w:type="spellStart"/>
      <w:r>
        <w:t>аланинаминотрансферазы</w:t>
      </w:r>
      <w:proofErr w:type="spellEnd"/>
      <w:r>
        <w:t>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нарушение обмена веществ;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кашель;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расстройство пищеварения;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развитие гепатита;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lastRenderedPageBreak/>
        <w:t>крапивная лихорадка;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 xml:space="preserve">отек </w:t>
      </w:r>
      <w:proofErr w:type="spellStart"/>
      <w:r>
        <w:t>Квинке</w:t>
      </w:r>
      <w:proofErr w:type="spellEnd"/>
      <w:r>
        <w:t>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мышечные боли;</w:t>
      </w:r>
    </w:p>
    <w:p w:rsidR="00202361" w:rsidRDefault="00202361" w:rsidP="00202361">
      <w:pPr>
        <w:pStyle w:val="a4"/>
        <w:numPr>
          <w:ilvl w:val="0"/>
          <w:numId w:val="16"/>
        </w:numPr>
      </w:pPr>
      <w:r>
        <w:t>аллергия.</w:t>
      </w:r>
    </w:p>
    <w:p w:rsidR="00202361" w:rsidRDefault="00202361" w:rsidP="00202361">
      <w:pPr>
        <w:pStyle w:val="2"/>
      </w:pPr>
      <w:r>
        <w:t>Передозировка</w:t>
      </w:r>
    </w:p>
    <w:p w:rsidR="00202361" w:rsidRDefault="00202361" w:rsidP="00202361">
      <w:r>
        <w:t>При нарушении назначенной дозировки у пациента могут проявиться характерные симптомы интоксикации:</w:t>
      </w:r>
    </w:p>
    <w:p w:rsidR="00202361" w:rsidRDefault="00202361" w:rsidP="00202361">
      <w:pPr>
        <w:pStyle w:val="a4"/>
        <w:numPr>
          <w:ilvl w:val="0"/>
          <w:numId w:val="17"/>
        </w:numPr>
      </w:pPr>
      <w:r>
        <w:t>кружение головы;</w:t>
      </w:r>
    </w:p>
    <w:p w:rsidR="00202361" w:rsidRDefault="00202361" w:rsidP="00202361">
      <w:pPr>
        <w:pStyle w:val="a4"/>
        <w:numPr>
          <w:ilvl w:val="0"/>
          <w:numId w:val="17"/>
        </w:numPr>
      </w:pPr>
      <w:r>
        <w:t>резкое снижение показателей давления.</w:t>
      </w:r>
    </w:p>
    <w:p w:rsidR="00202361" w:rsidRDefault="00202361" w:rsidP="00202361">
      <w:r>
        <w:t xml:space="preserve">При признаках передозировки необходимо промыть желудок и принять адсорбирующие препараты. </w:t>
      </w:r>
      <w:r w:rsidR="006872D5">
        <w:t xml:space="preserve">При тяжелой передозировке и критическом понижении показателей давления необходимо незамедлительно вызвать скорую помощь и ввести пациенту внутривенно </w:t>
      </w:r>
      <w:proofErr w:type="spellStart"/>
      <w:r w:rsidR="006872D5">
        <w:t>физраствор</w:t>
      </w:r>
      <w:proofErr w:type="spellEnd"/>
      <w:r w:rsidR="006872D5">
        <w:t>.</w:t>
      </w:r>
    </w:p>
    <w:p w:rsidR="006872D5" w:rsidRDefault="006872D5" w:rsidP="006872D5">
      <w:pPr>
        <w:pStyle w:val="2"/>
      </w:pPr>
      <w:r>
        <w:t>Лекарственное взаимодействие</w:t>
      </w:r>
    </w:p>
    <w:p w:rsidR="006872D5" w:rsidRDefault="006872D5" w:rsidP="006872D5">
      <w:r>
        <w:t xml:space="preserve">Препарат от давления </w:t>
      </w:r>
      <w:proofErr w:type="spellStart"/>
      <w:r>
        <w:t>Атаканд</w:t>
      </w:r>
      <w:proofErr w:type="spellEnd"/>
      <w:r>
        <w:t xml:space="preserve"> разрешено использовать в комплексной терапии. Медикамент хорошо сочетается с легкими </w:t>
      </w:r>
      <w:proofErr w:type="spellStart"/>
      <w:r>
        <w:t>антигипертензивными</w:t>
      </w:r>
      <w:proofErr w:type="spellEnd"/>
      <w:r>
        <w:t xml:space="preserve"> препаратами, </w:t>
      </w:r>
      <w:proofErr w:type="spellStart"/>
      <w:r>
        <w:t>антиангинальными</w:t>
      </w:r>
      <w:proofErr w:type="spellEnd"/>
      <w:r>
        <w:t xml:space="preserve"> средствами, блокатором кальциевых каналов </w:t>
      </w:r>
      <w:proofErr w:type="spellStart"/>
      <w:r>
        <w:t>Амлодипином</w:t>
      </w:r>
      <w:proofErr w:type="spellEnd"/>
      <w:r>
        <w:t>.</w:t>
      </w:r>
    </w:p>
    <w:p w:rsidR="006872D5" w:rsidRDefault="006872D5" w:rsidP="006872D5">
      <w:r>
        <w:t xml:space="preserve">Таблетки </w:t>
      </w:r>
      <w:proofErr w:type="spellStart"/>
      <w:r>
        <w:t>Атаканд</w:t>
      </w:r>
      <w:proofErr w:type="spellEnd"/>
      <w:r>
        <w:t xml:space="preserve"> можно принимать параллельно с мочегонными средствами для ускорения гипотензивного эффекта.</w:t>
      </w:r>
    </w:p>
    <w:p w:rsidR="006872D5" w:rsidRDefault="006872D5" w:rsidP="006872D5">
      <w:r>
        <w:t xml:space="preserve">Не вызывает негативных реакций прием </w:t>
      </w:r>
      <w:proofErr w:type="spellStart"/>
      <w:r>
        <w:t>Атаканда</w:t>
      </w:r>
      <w:proofErr w:type="spellEnd"/>
      <w:r>
        <w:t xml:space="preserve"> и следующих препаратов разного действия:</w:t>
      </w:r>
    </w:p>
    <w:p w:rsidR="006872D5" w:rsidRDefault="006872D5" w:rsidP="006872D5">
      <w:pPr>
        <w:pStyle w:val="a4"/>
        <w:numPr>
          <w:ilvl w:val="0"/>
          <w:numId w:val="18"/>
        </w:numPr>
      </w:pPr>
      <w:r w:rsidRPr="006872D5">
        <w:t>сердечный гликозид</w:t>
      </w:r>
      <w:r>
        <w:t xml:space="preserve"> </w:t>
      </w:r>
      <w:proofErr w:type="spellStart"/>
      <w:r>
        <w:t>Дигоксин</w:t>
      </w:r>
      <w:proofErr w:type="spellEnd"/>
      <w:r>
        <w:t>;</w:t>
      </w:r>
    </w:p>
    <w:p w:rsidR="006872D5" w:rsidRDefault="006872D5" w:rsidP="006872D5">
      <w:pPr>
        <w:pStyle w:val="a4"/>
        <w:numPr>
          <w:ilvl w:val="0"/>
          <w:numId w:val="18"/>
        </w:numPr>
      </w:pPr>
      <w:r>
        <w:t xml:space="preserve">ингибитор АПФ </w:t>
      </w:r>
      <w:proofErr w:type="spellStart"/>
      <w:r w:rsidR="00F57AB6">
        <w:t>Эналаприл</w:t>
      </w:r>
      <w:proofErr w:type="spellEnd"/>
      <w:r w:rsidR="00F57AB6">
        <w:t>;</w:t>
      </w:r>
    </w:p>
    <w:p w:rsidR="00F57AB6" w:rsidRDefault="00F57AB6" w:rsidP="00F57AB6">
      <w:pPr>
        <w:pStyle w:val="a4"/>
        <w:numPr>
          <w:ilvl w:val="0"/>
          <w:numId w:val="18"/>
        </w:numPr>
      </w:pPr>
      <w:r>
        <w:t>а</w:t>
      </w:r>
      <w:r w:rsidRPr="00F57AB6">
        <w:t>нтикоагулянт</w:t>
      </w:r>
      <w:r>
        <w:t xml:space="preserve"> </w:t>
      </w:r>
      <w:proofErr w:type="spellStart"/>
      <w:r>
        <w:t>Варфарин</w:t>
      </w:r>
      <w:proofErr w:type="spellEnd"/>
      <w:r>
        <w:t>;</w:t>
      </w:r>
    </w:p>
    <w:p w:rsidR="00F57AB6" w:rsidRDefault="00F57AB6" w:rsidP="00F57AB6">
      <w:pPr>
        <w:pStyle w:val="a4"/>
        <w:numPr>
          <w:ilvl w:val="0"/>
          <w:numId w:val="18"/>
        </w:numPr>
      </w:pPr>
      <w:r>
        <w:t xml:space="preserve">гипотензивный препарат </w:t>
      </w:r>
      <w:proofErr w:type="spellStart"/>
      <w:r>
        <w:t>Нифедипин</w:t>
      </w:r>
      <w:proofErr w:type="spellEnd"/>
      <w:r>
        <w:t>;</w:t>
      </w:r>
    </w:p>
    <w:p w:rsidR="00F57AB6" w:rsidRDefault="00F57AB6" w:rsidP="00F57AB6">
      <w:pPr>
        <w:pStyle w:val="a4"/>
        <w:numPr>
          <w:ilvl w:val="0"/>
          <w:numId w:val="18"/>
        </w:numPr>
      </w:pPr>
      <w:proofErr w:type="spellStart"/>
      <w:r>
        <w:t>сахаропонижающий</w:t>
      </w:r>
      <w:proofErr w:type="spellEnd"/>
      <w:r>
        <w:t xml:space="preserve"> препарат </w:t>
      </w:r>
      <w:proofErr w:type="spellStart"/>
      <w:r>
        <w:t>Глибенкламид</w:t>
      </w:r>
      <w:proofErr w:type="spellEnd"/>
      <w:r>
        <w:t>;</w:t>
      </w:r>
    </w:p>
    <w:p w:rsidR="00F57AB6" w:rsidRDefault="00F57AB6" w:rsidP="00F57AB6">
      <w:pPr>
        <w:pStyle w:val="a4"/>
        <w:numPr>
          <w:ilvl w:val="0"/>
          <w:numId w:val="18"/>
        </w:numPr>
      </w:pPr>
      <w:r>
        <w:t>пероральные противозачаточные средства.</w:t>
      </w:r>
    </w:p>
    <w:p w:rsidR="006872D5" w:rsidRDefault="006872D5" w:rsidP="006872D5">
      <w:r>
        <w:t xml:space="preserve">Медикамент от давления нельзя принимать одновременно с прямым ингибитором Ренина </w:t>
      </w:r>
      <w:proofErr w:type="spellStart"/>
      <w:r>
        <w:t>Аликсиреном</w:t>
      </w:r>
      <w:proofErr w:type="spellEnd"/>
      <w:r>
        <w:t>, так как совместный прием приведет к потере эффективности обоих средств.</w:t>
      </w:r>
    </w:p>
    <w:p w:rsidR="00F57AB6" w:rsidRDefault="00F57AB6" w:rsidP="006872D5">
      <w:r>
        <w:t xml:space="preserve">Нельзя принимать одновременно с </w:t>
      </w:r>
      <w:proofErr w:type="spellStart"/>
      <w:r>
        <w:t>Атакандом</w:t>
      </w:r>
      <w:proofErr w:type="spellEnd"/>
      <w:r>
        <w:t xml:space="preserve"> литийсодержащие препараты, так как это приведет к интоксикации организма.</w:t>
      </w:r>
    </w:p>
    <w:p w:rsidR="00F57AB6" w:rsidRDefault="00F57AB6" w:rsidP="006872D5">
      <w:r>
        <w:t xml:space="preserve">Препарат </w:t>
      </w:r>
      <w:proofErr w:type="spellStart"/>
      <w:r>
        <w:t>Атаканд</w:t>
      </w:r>
      <w:proofErr w:type="spellEnd"/>
      <w:r>
        <w:t xml:space="preserve"> теряет свою эффективность при одновременном применении с нестероидными противовоспалительными средствами.</w:t>
      </w:r>
    </w:p>
    <w:p w:rsidR="00F57AB6" w:rsidRDefault="00F57AB6" w:rsidP="00F57AB6">
      <w:pPr>
        <w:pStyle w:val="2"/>
      </w:pPr>
      <w:r>
        <w:t>Аналоги и заменители препарата</w:t>
      </w:r>
    </w:p>
    <w:p w:rsidR="00F57AB6" w:rsidRDefault="00F57AB6" w:rsidP="00F57AB6">
      <w:r>
        <w:t xml:space="preserve">Препарат от давления </w:t>
      </w:r>
      <w:proofErr w:type="spellStart"/>
      <w:r>
        <w:t>Атаканд</w:t>
      </w:r>
      <w:proofErr w:type="spellEnd"/>
      <w:r>
        <w:t xml:space="preserve"> производят в Великобритании. Аналоги </w:t>
      </w:r>
      <w:proofErr w:type="spellStart"/>
      <w:r>
        <w:t>Атаканда</w:t>
      </w:r>
      <w:proofErr w:type="spellEnd"/>
      <w:r>
        <w:t>:</w:t>
      </w:r>
    </w:p>
    <w:p w:rsidR="00F57AB6" w:rsidRDefault="00F57AB6" w:rsidP="00F57AB6">
      <w:pPr>
        <w:pStyle w:val="a4"/>
        <w:numPr>
          <w:ilvl w:val="0"/>
          <w:numId w:val="19"/>
        </w:numPr>
      </w:pPr>
      <w:proofErr w:type="spellStart"/>
      <w:r>
        <w:t>Ангиаканд</w:t>
      </w:r>
      <w:proofErr w:type="spellEnd"/>
      <w:r>
        <w:t>;</w:t>
      </w:r>
    </w:p>
    <w:p w:rsidR="00F57AB6" w:rsidRDefault="00F57AB6" w:rsidP="00F57AB6">
      <w:pPr>
        <w:pStyle w:val="a4"/>
        <w:numPr>
          <w:ilvl w:val="0"/>
          <w:numId w:val="19"/>
        </w:numPr>
      </w:pPr>
      <w:proofErr w:type="spellStart"/>
      <w:r>
        <w:lastRenderedPageBreak/>
        <w:t>Гипосарт</w:t>
      </w:r>
      <w:proofErr w:type="spellEnd"/>
      <w:r>
        <w:t>;</w:t>
      </w:r>
    </w:p>
    <w:p w:rsidR="00F57AB6" w:rsidRDefault="00F57AB6" w:rsidP="00F57AB6">
      <w:pPr>
        <w:pStyle w:val="a4"/>
        <w:numPr>
          <w:ilvl w:val="0"/>
          <w:numId w:val="19"/>
        </w:numPr>
      </w:pPr>
      <w:proofErr w:type="spellStart"/>
      <w:r>
        <w:t>Кандекор</w:t>
      </w:r>
      <w:proofErr w:type="spellEnd"/>
      <w:r>
        <w:t>;</w:t>
      </w:r>
    </w:p>
    <w:p w:rsidR="00F57AB6" w:rsidRDefault="00F57AB6" w:rsidP="00F57AB6">
      <w:pPr>
        <w:pStyle w:val="a4"/>
        <w:numPr>
          <w:ilvl w:val="0"/>
          <w:numId w:val="19"/>
        </w:numPr>
      </w:pPr>
      <w:proofErr w:type="spellStart"/>
      <w:r>
        <w:t>Кандесартан</w:t>
      </w:r>
      <w:proofErr w:type="spellEnd"/>
      <w:r>
        <w:t>.</w:t>
      </w:r>
    </w:p>
    <w:p w:rsidR="00341985" w:rsidRPr="00F57AB6" w:rsidRDefault="00F57AB6" w:rsidP="00341985">
      <w:r>
        <w:t xml:space="preserve">Решение о замене препарата </w:t>
      </w:r>
      <w:proofErr w:type="spellStart"/>
      <w:r>
        <w:t>Атаканд</w:t>
      </w:r>
      <w:proofErr w:type="spellEnd"/>
      <w:r>
        <w:t xml:space="preserve"> от давления аналогом принимает лечащий врач. Самостоят</w:t>
      </w:r>
      <w:bookmarkStart w:id="0" w:name="_GoBack"/>
      <w:bookmarkEnd w:id="0"/>
      <w:r>
        <w:t>ельно прекращать или менять курс нельзя.</w:t>
      </w:r>
    </w:p>
    <w:sectPr w:rsidR="00341985" w:rsidRPr="00F5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F47"/>
    <w:multiLevelType w:val="hybridMultilevel"/>
    <w:tmpl w:val="7B5C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F93"/>
    <w:multiLevelType w:val="hybridMultilevel"/>
    <w:tmpl w:val="20C6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13ED"/>
    <w:multiLevelType w:val="hybridMultilevel"/>
    <w:tmpl w:val="1AA6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F09"/>
    <w:multiLevelType w:val="hybridMultilevel"/>
    <w:tmpl w:val="BFB4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B514E"/>
    <w:multiLevelType w:val="hybridMultilevel"/>
    <w:tmpl w:val="AE0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2EC5"/>
    <w:multiLevelType w:val="hybridMultilevel"/>
    <w:tmpl w:val="E824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56BA"/>
    <w:multiLevelType w:val="multilevel"/>
    <w:tmpl w:val="E9EA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3D09BC"/>
    <w:multiLevelType w:val="multilevel"/>
    <w:tmpl w:val="577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35155"/>
    <w:multiLevelType w:val="multilevel"/>
    <w:tmpl w:val="FE9402B6"/>
    <w:lvl w:ilvl="0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5"/>
        </w:tabs>
        <w:ind w:left="77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5"/>
        </w:tabs>
        <w:ind w:left="84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5"/>
        </w:tabs>
        <w:ind w:left="99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5"/>
        </w:tabs>
        <w:ind w:left="106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618AB"/>
    <w:multiLevelType w:val="multilevel"/>
    <w:tmpl w:val="381CF220"/>
    <w:lvl w:ilvl="0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4"/>
        </w:tabs>
        <w:ind w:left="76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4"/>
        </w:tabs>
        <w:ind w:left="83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4"/>
        </w:tabs>
        <w:ind w:left="90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4"/>
        </w:tabs>
        <w:ind w:left="97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4"/>
        </w:tabs>
        <w:ind w:left="1051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E766F"/>
    <w:multiLevelType w:val="multilevel"/>
    <w:tmpl w:val="88B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51DDC"/>
    <w:multiLevelType w:val="hybridMultilevel"/>
    <w:tmpl w:val="94D8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678F6"/>
    <w:multiLevelType w:val="multilevel"/>
    <w:tmpl w:val="8910B5B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13" w15:restartNumberingAfterBreak="0">
    <w:nsid w:val="651220EE"/>
    <w:multiLevelType w:val="hybridMultilevel"/>
    <w:tmpl w:val="E18A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03B29"/>
    <w:multiLevelType w:val="multilevel"/>
    <w:tmpl w:val="CABC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E598F"/>
    <w:multiLevelType w:val="multilevel"/>
    <w:tmpl w:val="3860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583015"/>
    <w:multiLevelType w:val="hybridMultilevel"/>
    <w:tmpl w:val="C102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D3218"/>
    <w:multiLevelType w:val="hybridMultilevel"/>
    <w:tmpl w:val="08AA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40C96"/>
    <w:multiLevelType w:val="hybridMultilevel"/>
    <w:tmpl w:val="FEBA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18"/>
  </w:num>
  <w:num w:numId="13">
    <w:abstractNumId w:val="17"/>
  </w:num>
  <w:num w:numId="14">
    <w:abstractNumId w:val="2"/>
  </w:num>
  <w:num w:numId="15">
    <w:abstractNumId w:val="0"/>
  </w:num>
  <w:num w:numId="16">
    <w:abstractNumId w:val="5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85"/>
    <w:rsid w:val="00034485"/>
    <w:rsid w:val="000B0AEE"/>
    <w:rsid w:val="000E3A5B"/>
    <w:rsid w:val="001F50F8"/>
    <w:rsid w:val="00202361"/>
    <w:rsid w:val="00270EC8"/>
    <w:rsid w:val="003410B3"/>
    <w:rsid w:val="00341985"/>
    <w:rsid w:val="004B6119"/>
    <w:rsid w:val="006872D5"/>
    <w:rsid w:val="00852952"/>
    <w:rsid w:val="00974BE1"/>
    <w:rsid w:val="009D1924"/>
    <w:rsid w:val="00A93B77"/>
    <w:rsid w:val="00AB569F"/>
    <w:rsid w:val="00B656BA"/>
    <w:rsid w:val="00F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4EE0"/>
  <w15:chartTrackingRefBased/>
  <w15:docId w15:val="{29CD6F36-D867-4438-95BC-8AA54FF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8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74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4BE1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Cs/>
      <w:color w:val="1F4E79" w:themeColor="accent1" w:themeShade="80"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4B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98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41985"/>
    <w:rPr>
      <w:color w:val="0000FF"/>
      <w:u w:val="single"/>
    </w:rPr>
  </w:style>
  <w:style w:type="character" w:styleId="a6">
    <w:name w:val="Strong"/>
    <w:basedOn w:val="a0"/>
    <w:uiPriority w:val="22"/>
    <w:qFormat/>
    <w:rsid w:val="003419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4BE1"/>
    <w:rPr>
      <w:rFonts w:asciiTheme="majorHAnsi" w:eastAsia="Times New Roman" w:hAnsiTheme="majorHAnsi" w:cs="Times New Roman"/>
      <w:bCs/>
      <w:color w:val="1F4E79" w:themeColor="accent1" w:themeShade="80"/>
      <w:sz w:val="28"/>
      <w:szCs w:val="36"/>
      <w:lang w:eastAsia="ru-RU"/>
    </w:rPr>
  </w:style>
  <w:style w:type="paragraph" w:customStyle="1" w:styleId="opispole">
    <w:name w:val="opis_pole"/>
    <w:basedOn w:val="a"/>
    <w:rsid w:val="0034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4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974BE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74B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202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32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12" w:space="23" w:color="305CF7"/>
            <w:bottom w:val="none" w:sz="0" w:space="0" w:color="auto"/>
            <w:right w:val="none" w:sz="0" w:space="0" w:color="auto"/>
          </w:divBdr>
        </w:div>
      </w:divsChild>
    </w:div>
    <w:div w:id="20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632">
          <w:marLeft w:val="0"/>
          <w:marRight w:val="0"/>
          <w:marTop w:val="0"/>
          <w:marBottom w:val="375"/>
          <w:divBdr>
            <w:top w:val="single" w:sz="6" w:space="16" w:color="FADF98"/>
            <w:left w:val="single" w:sz="6" w:space="31" w:color="FADF98"/>
            <w:bottom w:val="single" w:sz="6" w:space="20" w:color="FADF98"/>
            <w:right w:val="single" w:sz="6" w:space="8" w:color="FADF98"/>
          </w:divBdr>
        </w:div>
      </w:divsChild>
    </w:div>
    <w:div w:id="1664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4679-7110-41F3-B9EC-DFD449B9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1546</Words>
  <Characters>11272</Characters>
  <Application>Microsoft Office Word</Application>
  <DocSecurity>0</DocSecurity>
  <Lines>229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Попельнюк</dc:creator>
  <cp:keywords/>
  <dc:description/>
  <cp:lastModifiedBy>Дарья Попельнюк</cp:lastModifiedBy>
  <cp:revision>2</cp:revision>
  <dcterms:created xsi:type="dcterms:W3CDTF">2020-01-25T00:19:00Z</dcterms:created>
  <dcterms:modified xsi:type="dcterms:W3CDTF">2020-01-25T08:36:00Z</dcterms:modified>
</cp:coreProperties>
</file>