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pStyle w:val="0"/>
        <w:rPr>
          <w:rFonts w:hAnsi="Arial" w:ascii="Arial"/>
        </w:rPr>
      </w:pPr>
    </w:p>
    <w:p>
      <w:pPr>
        <w:pStyle w:val="0"/>
        <w:rPr>
          <w:rFonts w:hAnsi="Arial" w:ascii="Arial"/>
          <w:sz w:val="20"/>
        </w:rPr>
      </w:pPr>
      <w:r>
        <w:rPr>
          <w:rFonts w:hAnsi="Arial" w:ascii="Arial"/>
          <w:b w:val="1"/>
        </w:rPr>
        <w:t xml:space="preserve">Тематика: медицина</w:t>
      </w:r>
    </w:p>
    <w:p>
      <w:pPr>
        <w:pStyle w:val="0"/>
        <w:rPr>
          <w:rFonts w:hAnsi="Arial" w:ascii="Arial"/>
        </w:rPr>
      </w:pPr>
      <w:r>
        <w:rPr>
          <w:rFonts w:hAnsi="Arial" w:ascii="Arial"/>
          <w:b w:val="1"/>
        </w:rPr>
        <w:t xml:space="preserve">Языковая пара: английский - русский</w:t>
      </w:r>
    </w:p>
    <w:tbl>
      <w:tblPr>
        <w:tblBorders>
          <w:right w:sz="4" w:val="single"/>
          <w:insideV w:sz="4" w:val="single"/>
          <w:bottom w:sz="4" w:val="single"/>
          <w:top w:sz="4" w:val="single"/>
          <w:insideH w:sz="4" w:val="single"/>
          <w:left w:sz="4" w:val="single"/>
        </w:tblBorders>
        <w:tblCellMar>
          <w:left w:type="dxa" w:w="108"/>
          <w:right w:type="dxa" w:w="108"/>
          <w:top w:type="dxa" w:w="0"/>
          <w:bottom w:type="dxa" w:w="0"/>
        </w:tblCellMar>
        <w:tblW w:type="dxa" w:w="15588"/>
        <w:tblLayout w:type="autofit"/>
        <w:tblInd w:type="dxa" w:w="-108"/>
      </w:tblPr>
      <w:tblGrid>
        <w:gridCol w:w="8028"/>
        <w:gridCol w:w="7560"/>
      </w:tblGrid>
      <w:tr>
        <w:trPr>
          <w:tblCellMar/>
          <w:trHeight w:val="465" w:hRule="atLeast"/>
        </w:trPr>
        <w:tblPrEx>
          <w:tblCellMar/>
        </w:tblPrEx>
        <w:tc>
          <w:tcPr>
            <w:tcW w:type="dxa" w:w="8028"/>
          </w:tcPr>
          <w:p>
            <w:pPr>
              <w:jc w:val="both"/>
              <w:pStyle w:val="0"/>
              <w:spacing w:before="100" w:after="100" w:lineRule="auto" w:line="336.0"/>
              <w:rPr>
                <w:sz w:val="22"/>
                <w:color w:val="000000"/>
              </w:rPr>
            </w:pPr>
            <w:r>
              <w:rPr>
                <w:rFonts w:hAnsi="Arial" w:ascii="Arial"/>
                <w:b w:val="1"/>
              </w:rPr>
              <w:t>Оригинал</w:t>
            </w:r>
          </w:p>
        </w:tc>
        <w:tc>
          <w:tcPr>
            <w:tcW w:type="dxa" w:w="7560"/>
          </w:tcPr>
          <w:p>
            <w:pPr>
              <w:jc w:val="both"/>
              <w:pStyle w:val="0"/>
              <w:spacing w:before="100" w:after="100" w:lineRule="auto" w:line="336.0"/>
              <w:rPr>
                <w:sz w:val="22"/>
                <w:color w:val="000000"/>
              </w:rPr>
            </w:pPr>
            <w:r>
              <w:rPr>
                <w:rFonts w:hAnsi="Arial" w:ascii="Arial"/>
                <w:b w:val="1"/>
              </w:rPr>
              <w:t>Перевод</w:t>
            </w:r>
          </w:p>
        </w:tc>
      </w:tr>
      <w:tr>
        <w:trPr>
          <w:tblCellMar/>
          <w:trHeight w:val="5385" w:hRule="atLeast"/>
        </w:trPr>
        <w:tblPrEx>
          <w:tblCellMar/>
        </w:tblPrEx>
        <w:tc>
          <w:tcPr>
            <w:tcW w:type="dxa" w:w="8028"/>
          </w:tcPr>
          <w:p>
            <w:pPr>
              <w:pStyle w:val="1"/>
              <w:spacing w:before="0" w:after="0" w:lineRule="auto" w:line="336.0"/>
              <w:rPr>
                <w:sz w:val="30"/>
                <w:color w:val="000000"/>
              </w:rPr>
            </w:pPr>
          </w:p>
          <w:p>
            <w:pPr>
              <w:jc w:val="both"/>
              <w:ind w:left="57" w:right="57" w:firstLine="709"/>
              <w:pStyle w:val="0"/>
              <w:shd w:fill="ffffff"/>
            </w:pPr>
            <w:r>
              <w:rPr>
                <w:sz w:val="22"/>
                <w:color w:val="000000"/>
              </w:rPr>
              <w:t xml:space="preserve">The development of AA amyloidosis is a biphasic process. The first requisite for establishment of the disease is the continuing presence of a large circulating pool of serum amyloid A (SAA), an acute-phase protein produced by the liver in response to inflammation. The second phase consists in the presence of an as yet incompletely characterized tissue component termed amyloid enhancing factor (AEF) which appears following long standing inflammatory process. AEF may be considered as a nucleating agent around which amyloid fibrillogenesis develops</w:t>
            </w:r>
            <w:r>
              <w:rPr>
                <w:sz w:val="22"/>
                <w:color w:val="000000"/>
                <w:vertAlign w:val="superscript"/>
              </w:rPr>
              <w:t>13</w:t>
            </w:r>
            <w:r>
              <w:rPr>
                <w:sz w:val="22"/>
                <w:color w:val="000000"/>
              </w:rPr>
              <w:t>.</w:t>
            </w:r>
          </w:p>
          <w:p>
            <w:pPr>
              <w:jc w:val="both"/>
              <w:ind w:left="57" w:right="57" w:firstLine="709"/>
              <w:pStyle w:val="0"/>
              <w:shd w:fill="ffffff"/>
            </w:pPr>
            <w:r>
              <w:rPr>
                <w:sz w:val="22"/>
                <w:color w:val="000000"/>
              </w:rPr>
              <w:t xml:space="preserve">Amyloid deposits consist of p-pleated sheet AA protein that gets deposited concomitantly with other elements. These other elements of the amyloid deposits are found associated with all types of amyloid deposits, and include the basement membrane proteoglycans (e.g. heparan sulfate proteoglycan [HSPG]), complement components [C1] and serum amyloid P [SAP].</w:t>
            </w:r>
          </w:p>
          <w:p>
            <w:pPr>
              <w:jc w:val="both"/>
              <w:ind w:left="57" w:right="57" w:firstLine="709"/>
              <w:pStyle w:val="0"/>
              <w:shd w:fill="ffffff"/>
            </w:pPr>
            <w:r>
              <w:rPr>
                <w:sz w:val="22"/>
                <w:color w:val="000000"/>
              </w:rPr>
              <w:t xml:space="preserve">Sulfated glycosaminoglycans (GAG), as found in HSPG, have been shown to play a crucial role in the pathophysiology of amyloidosis. They bind to amyloidogenic proteins and mediate their deposition by promoting the polymerization of the amyloidogenic proteins into macrofibrillar aggregates</w:t>
            </w:r>
            <w:r>
              <w:rPr>
                <w:sz w:val="22"/>
                <w:color w:val="000000"/>
                <w:vertAlign w:val="superscript"/>
              </w:rPr>
              <w:t>21</w:t>
            </w:r>
            <w:r>
              <w:rPr>
                <w:sz w:val="22"/>
                <w:color w:val="000000"/>
              </w:rPr>
              <w:t xml:space="preserve">. They were also found to protect amyloid protein from proteolysis while it forms insoluble complexes</w:t>
            </w:r>
            <w:r>
              <w:rPr>
                <w:sz w:val="22"/>
                <w:color w:val="000000"/>
                <w:vertAlign w:val="superscript"/>
              </w:rPr>
              <w:t>22</w:t>
            </w:r>
            <w:r>
              <w:rPr>
                <w:sz w:val="22"/>
                <w:color w:val="000000"/>
              </w:rPr>
              <w:t xml:space="preserve">. Compounds that would compete with sulfated glycosaminoglycans for the binding to the amyloidogenic protein may, therefore, represent effective therapeutic agents for amyloidosis. Large sulfated molecules such as heparin and dextran sulfate have been shown to inhibit the binding of heparan sulfate GAG to an amyloid precursor protein (ApPP) in vitro</w:t>
            </w:r>
            <w:r>
              <w:rPr>
                <w:sz w:val="22"/>
                <w:color w:val="000000"/>
                <w:vertAlign w:val="superscript"/>
              </w:rPr>
              <w:t>24</w:t>
            </w:r>
            <w:r>
              <w:rPr>
                <w:sz w:val="22"/>
                <w:color w:val="000000"/>
              </w:rPr>
              <w:t xml:space="preserve">. Furthermore, Congo Red (an aromatic disulfonate) has long been used as a histochemical stain for amyloid, and was reported to inhibit AA amyloid deposition in vivo</w:t>
            </w:r>
            <w:r>
              <w:rPr>
                <w:sz w:val="22"/>
                <w:color w:val="000000"/>
                <w:vertAlign w:val="superscript"/>
              </w:rPr>
              <w:t>25</w:t>
            </w:r>
            <w:r>
              <w:rPr>
                <w:sz w:val="22"/>
                <w:color w:val="000000"/>
              </w:rPr>
              <w:t>.</w:t>
            </w:r>
          </w:p>
          <w:p>
            <w:pPr>
              <w:jc w:val="both"/>
              <w:ind w:left="57" w:right="57" w:firstLine="709"/>
              <w:pStyle w:val="0"/>
              <w:shd w:fill="ffffff"/>
            </w:pPr>
            <w:r>
              <w:rPr>
                <w:sz w:val="22"/>
                <w:color w:val="000000"/>
              </w:rPr>
              <w:t xml:space="preserve">Neurochem has synthesized a series of related small anionic sulfonated molecules, and assessed their effects in an acute induction murine model of AA amyloidosis (Table 1). Briefly, CD-1 mice received AEF (IV) with a concomitant inflammatory stimulus (2% AgNO</w:t>
            </w:r>
            <w:r>
              <w:rPr>
                <w:sz w:val="22"/>
                <w:color w:val="000000"/>
                <w:vertAlign w:val="subscript"/>
              </w:rPr>
              <w:t>3</w:t>
            </w:r>
            <w:r>
              <w:rPr>
                <w:sz w:val="22"/>
                <w:color w:val="000000"/>
              </w:rPr>
              <w:t xml:space="preserve"> solution, SC) to initiate amyloid development. Animals were treated orally with the test compounds (in drinking water) for 5 consecutive days starting 24 hrs following the induction, and for the next five days. On day 6, mice were sacrificed and amyloid deposition was determined on histological spleen sections following Congo Red staining. The murine model is described in more detail in section 5.1.2</w:t>
            </w:r>
          </w:p>
          <w:p>
            <w:pPr>
              <w:jc w:val="both"/>
              <w:ind w:firstLine="540"/>
              <w:pStyle w:val="0"/>
              <w:spacing w:before="100" w:after="100" w:lineRule="auto" w:line="336.0"/>
              <w:rPr>
                <w:sz w:val="30"/>
                <w:color w:val="000000"/>
              </w:rPr>
            </w:pPr>
            <w:r>
              <w:rPr>
                <w:sz w:val="22"/>
                <w:color w:val="000000"/>
              </w:rPr>
              <w:t xml:space="preserve">As illustrated in Table 1, the different sulfonated agents inhibited the AA amyloid deposition to varying degrees. The most effective agent was found to be poly(vinylsulfonate) sodium salt (PVS). Sodium 1,2-ethanedisulfonate and sodium 1,3-propanedisulfonate (NC-503) were more effective than their corresponding monosulfonates or the sodium 1,4-, 1,5- and 1,6- disulfonates of butane, pentane, and hexane, respectively. This finding suggests that proximity of sulfonate groups may play an important role in the anti-amyloidotic activity of these compounds. In the case of poly(vinylsulfonate), every second carbon is sulfonated</w:t>
            </w:r>
            <w:r>
              <w:rPr>
                <w:sz w:val="22"/>
                <w:color w:val="000000"/>
                <w:vertAlign w:val="superscript"/>
              </w:rPr>
              <w:t>26</w:t>
            </w:r>
            <w:r>
              <w:rPr>
                <w:sz w:val="22"/>
                <w:color w:val="000000"/>
              </w:rPr>
              <w:t>..</w:t>
            </w:r>
          </w:p>
        </w:tc>
        <w:tc>
          <w:tcPr>
            <w:tcW w:type="dxa" w:w="7560"/>
          </w:tcPr>
          <w:p>
            <w:pPr>
              <w:jc w:val="center"/>
              <w:pStyle w:val="0"/>
              <w:rPr>
                <w:sz w:val="20"/>
              </w:rPr>
            </w:pPr>
          </w:p>
          <w:p>
            <w:pPr/>
            <w:r>
              <w:t xml:space="preserve">Развитие амилоидоза является АА двухфазным процессом .Первым  необходимым условием для установления заболевания является постоянное присутствие большого циркулирующего пула сывороточного амилоида а (SAA) ,острофазного белка ,процидируемого печенью в ответ на воспаление .Вторая фаза заключается в наличии еще не полностью охарактеризированного тканевого компонента . называемого амилоидным усиливающим фактором (АЭФ) , который появляется после длительного воспалительного процесса . АЭФ можно рассматривать как нуклерующий агент  вокруг которого развивается амилоид фибриллогенез .</w:t>
            </w:r>
          </w:p>
          <w:p>
            <w:pPr/>
            <w:r>
              <w:t xml:space="preserve">Амилоидные отложения состоят из р -гофрированного листового белка АА ,который осаждается одновременно с другими элементами . Эти другие элементы амилоидных отложений являются связанными со всеми типами отложений амилоида и включают в себя протеогликаны базальной мембраны (например, гепарансульфат протеогликан [HSPG]), компоненты комплемента [C1] и сывороточный амилоид P [SAP].</w:t>
            </w:r>
          </w:p>
          <w:p>
            <w:pPr/>
            <w:r>
              <w:t xml:space="preserve">БЫло показано ,что сульфатированные гликозаминогликаны (GAG) , обнаруженные HSPG , играют решающую роль в патофизиологии амилоидоза .Они связываются с амилоидогеннными белками  опосредуют их отложение ,способствуя полимеризации амилоидогенных белков в макрофибриллярные агрегаты .Также выяснилось , что они защищают белок амилоида  от протеолиза пока он образует неразрешимые комплексы .Таким образом , соединения , которые конкурировали бы с сульфатированными гликозаминогликанами за связывание амилоидогенным белком , могут представлять собой эффективные терапевтические средства для лечения амилоидоза .Было показано ,что большие сульфатированные молекулы ,такие как герапин и декстрансульфат , ингибируют связывание ГЕПАРАНСУЛЬФАТА GAG с белком- предшественником амилоида (ApPP) in vitro .Кроме того , Конго Красный (ароматический дисульфонат ) уже давно используется в качестве гистохимического пятна для амилоида , и как сообщается , ингибирует отложение амилоида АА в in vivo . </w:t>
            </w:r>
          </w:p>
          <w:p>
            <w:pPr/>
            <w:r>
              <w:t xml:space="preserve">Нейрохем синтезировал ряд родственных малых анионных сульфатированных молекул и оценил их эффекты в острой индукционной мышиной модели амилоидоза АА (табл .1). Вкратце , мыши CD-1 получали AEF (IV) с сопутсвующим воспалительным стимулом ( 2 % раствор AgNO3, SC ) для инициации развития амилоида. Животных обрабатывали перорально испытуемыми соединениями ( в питьевой воде ) в течение 5 последовательных дней , начиная с с 24 часов после индукции , и в течение следующих пяти дней . На 6-ой день мышей забивали и и определяли отложение амилоида на гистологических  срезах селезенки после окрашивания Конго  Красным .Модель мышей более подробно описана в разделе 5.1.2.</w:t>
            </w:r>
          </w:p>
          <w:p>
            <w:pPr/>
            <w:r>
              <w:t xml:space="preserve">Как  показано в таблице 1 , различные сульфированные агенты ингибировали осаждение амилоида АА в различной степени. Наиболее эффективным агентом оказалось поли (винилсульфонат) натриевая соль (ПВС) . Натрий 1,2 - этандисульфонат и натрий 1,3 - -пропандисульфонат (NC-503) были более эффективными, чем их соответствующие моносульфонаты или натрий 1,4 -, 1,5 - и 1,6 - дисульфонаты Бутана, пентана и гексана соответственно .Этот вывод позволяет предположить , что близость сульфонатных групп может играть важную роль в антиамилоидогенной активности этих соединений .В сулчае поли (винилсульфаната)  каждый второй углерод сульфируется. </w:t>
            </w:r>
          </w:p>
          <w:p>
            <w:pPr/>
            <w:r>
              <w:rPr>
                <w:sz w:val="22"/>
              </w:rPr>
              <w:t xml:space="preserve"> </w:t>
            </w:r>
          </w:p>
          <w:p>
            <w:pPr>
              <w:jc w:val="both"/>
              <w:ind w:firstLine="540"/>
              <w:pStyle w:val="0"/>
              <w:spacing w:before="100" w:after="100" w:lineRule="auto" w:line="336.0"/>
              <w:rPr>
                <w:sz w:val="20"/>
              </w:rPr>
            </w:pPr>
          </w:p>
        </w:tc>
      </w:tr>
    </w:tbl>
    <w:p>
      <w:pPr>
        <w:pStyle w:val="0"/>
      </w:pPr>
    </w:p>
    <w:sectPr>
      <w:pgSz w:w="16838" w:h="11906"/>
      <w:pgMar w:top="360" w:bottom="1701" w:left="720" w:right="1134"/>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Times New Roman" w:ascii="Times New Roman"/>
        <w:sz w:val="20"/>
      </w:rPr>
    </w:rPrDefault>
    <w:pPrDefault>
      <w:pPr>
        <w:spacing w:lineRule="auto" w:line="240.0"/>
      </w:pPr>
    </w:pPrDefault>
  </w:docDefaults>
  <w:style w:styleId="1" w:type="paragraph">
    <w:name w:val="Заголовок 1"/>
    <w:pPr>
      <w:spacing w:before="100" w:after="100"/>
    </w:pPr>
    <w:rPr>
      <w:sz w:val="48"/>
      <w:b w:val="1"/>
    </w:rPr>
  </w:style>
  <w:style w:styleId="0" w:type="paragraph">
    <w:name w:val="Обычный"/>
    <w:rPr>
      <w:sz w:val="24"/>
    </w:rPr>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медицина (копия 1).docx</dc:title>
</cp:coreProperties>
</file>