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pStyle w:val="0"/>
        <w:rPr>
          <w:rFonts w:hAnsi="Arial" w:ascii="Arial"/>
        </w:rPr>
      </w:pPr>
    </w:p>
    <w:tbl>
      <w:tblPr>
        <w:tblBorders>
          <w:right w:sz="4" w:val="single"/>
          <w:insideV w:sz="4" w:val="single"/>
          <w:bottom w:sz="4" w:val="single"/>
          <w:top w:sz="4" w:val="single"/>
          <w:insideH w:sz="4" w:val="single"/>
          <w:left w:sz="4" w:val="single"/>
        </w:tblBorders>
        <w:tblCellMar>
          <w:left w:type="dxa" w:w="108"/>
          <w:right w:type="dxa" w:w="108"/>
          <w:top w:type="dxa" w:w="0"/>
          <w:bottom w:type="dxa" w:w="0"/>
        </w:tblCellMar>
        <w:tblW w:type="dxa" w:w="15588"/>
        <w:tblLayout w:type="autofit"/>
        <w:tblInd w:type="dxa" w:w="-108"/>
      </w:tblPr>
      <w:tblGrid>
        <w:gridCol w:w="8028"/>
        <w:gridCol w:w="7560"/>
      </w:tblGrid>
      <w:tr>
        <w:trPr>
          <w:tblCellMar/>
          <w:trHeight w:val="465" w:hRule="atLeast"/>
        </w:trPr>
        <w:tblPrEx>
          <w:tblCellMar/>
        </w:tblPrEx>
        <w:tc>
          <w:tcPr>
            <w:tcW w:type="dxa" w:w="8028"/>
          </w:tcPr>
          <w:p>
            <w:pPr>
              <w:jc w:val="both"/>
              <w:pStyle w:val="0"/>
              <w:spacing w:before="100" w:after="100" w:lineRule="auto" w:line="336.0"/>
              <w:rPr>
                <w:sz w:val="22"/>
                <w:color w:val="000000"/>
              </w:rPr>
            </w:pPr>
            <w:r>
              <w:rPr>
                <w:rFonts w:hAnsi="Arial" w:ascii="Arial"/>
                <w:b w:val="1"/>
              </w:rPr>
              <w:t>Оригинал</w:t>
            </w:r>
          </w:p>
        </w:tc>
        <w:tc>
          <w:tcPr>
            <w:tcW w:type="dxa" w:w="7560"/>
          </w:tcPr>
          <w:p>
            <w:pPr>
              <w:jc w:val="both"/>
              <w:pStyle w:val="0"/>
              <w:spacing w:before="100" w:after="100" w:lineRule="auto" w:line="336.0"/>
              <w:rPr>
                <w:sz w:val="22"/>
                <w:color w:val="000000"/>
              </w:rPr>
            </w:pPr>
            <w:r>
              <w:rPr>
                <w:rFonts w:hAnsi="Arial" w:ascii="Arial"/>
                <w:b w:val="1"/>
              </w:rPr>
              <w:t>Перевод</w:t>
            </w:r>
          </w:p>
        </w:tc>
      </w:tr>
      <w:tr>
        <w:trPr>
          <w:tblCellMar/>
          <w:trHeight w:val="5385" w:hRule="atLeast"/>
        </w:trPr>
        <w:tblPrEx>
          <w:tblCellMar/>
        </w:tblPrEx>
        <w:tc>
          <w:tcPr>
            <w:tcW w:type="dxa" w:w="8028"/>
          </w:tcPr>
          <w:p>
            <w:pPr>
              <w:pStyle w:val="1"/>
              <w:spacing w:before="0" w:after="0" w:lineRule="auto" w:line="336.0"/>
              <w:rPr>
                <w:sz w:val="30"/>
                <w:color w:val="000000"/>
              </w:rPr>
            </w:pPr>
          </w:p>
          <w:p>
            <w:pPr>
              <w:jc w:val="center"/>
              <w:pStyle w:val="0"/>
              <w:rPr>
                <w:rFonts w:hAnsi="Arial" w:ascii="Arial"/>
                <w:sz w:val="26"/>
                <w:b w:val="1"/>
              </w:rPr>
            </w:pPr>
            <w:r>
              <w:rPr>
                <w:rFonts w:hAnsi="Arial" w:ascii="Arial"/>
                <w:sz w:val="26"/>
                <w:b w:val="1"/>
                <w:color w:val="333333"/>
              </w:rPr>
              <w:t xml:space="preserve">EPA Findings on Hydraulic Fracturing Deemed “Unsupportable”</w:t>
            </w:r>
          </w:p>
          <w:p>
            <w:pPr>
              <w:jc w:val="both"/>
              <w:ind w:firstLine="540"/>
              <w:pStyle w:val="0"/>
              <w:spacing w:before="100" w:after="100"/>
            </w:pPr>
            <w:r>
              <w:t xml:space="preserve">When an EPA¹ study concluding that hydraulic fracturing "poses little or no threat" to drinking water supplies was published in 2004, several EPA scientists challenged the study's methodology and questioned the impartiality of the expert panel that reviewed its findings. The Bush administration has strongly supported hydraulic fracturing, an oil extraction technique developed by Halliburton Co., but environmental groups as well as scientists within the EPA have warned that the practice may contaminate drinking water and needs to be regulated.</w:t>
            </w:r>
          </w:p>
          <w:p>
            <w:pPr>
              <w:jc w:val="both"/>
              <w:ind w:firstLine="540"/>
              <w:pStyle w:val="0"/>
              <w:spacing w:before="100" w:after="100"/>
            </w:pPr>
            <w:r>
              <w:t xml:space="preserve">Hydraulic fracturing is a technique used to help increase the amount of oil that can be extracted from an oil well. It involves literally pumping water or another fluid into rock under such high pressure that it creates new cracks around an oil reservoir. As described in a Department of Energy fact sheet, fracturing is used "to create additional passageways in the oil reservoir that can facilitate the flow of oil to a producing well." The fracturing fluid contains sand or some other 'propping agent' to help the cracks stay open, and can also include toxic chemicals such as diesel oil. </w:t>
            </w:r>
          </w:p>
          <w:p>
            <w:pPr>
              <w:jc w:val="both"/>
              <w:ind w:firstLine="540"/>
              <w:pStyle w:val="0"/>
              <w:spacing w:before="100" w:after="100"/>
            </w:pPr>
            <w:r>
              <w:t xml:space="preserve">When oil reservoirs lie close to aquifers there is a possibility that a fracture could open up between the two, contaminating the water. Critics of fracturing contend that because toxic fluids pumped into the ground during fracturing may seep into nearby ground water supplies, hydraulic fracturing should be regulated. Residents of Alabama, Colorado, New Mexico, Virginia, West Virginia and Wyoming have charged that their water quality or quantity has changed following fracturing operations of gas wells near their homes. The oil industry has steadily maintained that the practice is safe, and that efforts to regulate hydraulic fracturing would be a bad idea because they "could have significant adverse effects" on the domestic energy extraction business. </w:t>
            </w:r>
          </w:p>
          <w:p>
            <w:pPr>
              <w:jc w:val="both"/>
              <w:ind w:firstLine="540"/>
              <w:pStyle w:val="0"/>
              <w:spacing w:before="100" w:after="100"/>
            </w:pPr>
            <w:r>
              <w:t xml:space="preserve">The EPA study was undertaken in response to a 1994 petition to the EPA from residents of the state of Alabama claiming their drinking water had been contaminated by the process. In 1997 the 11th Circuit Court of Appeals ruled that hydraulic fracturing should be regulated under federal law. The Bush administration weighed in early on the issue of hydraulic fracturing. The </w:t>
            </w:r>
            <w:r>
              <w:rPr>
                <w:i w:val="1"/>
              </w:rPr>
              <w:t xml:space="preserve">Los Angeles Times</w:t>
            </w:r>
            <w:r>
              <w:t xml:space="preserve"> reported that Vice President Cheney's 2001 energy task force report touted the benefits of hydraulic fracturing while ignoring its potential consequences, in spite of repeated requests by EPA scientists to include mention of environmental concerns. Cheney’s office was "involved in discussions about how fracturing should be portrayed in the report," the </w:t>
            </w:r>
            <w:r>
              <w:rPr>
                <w:i w:val="1"/>
              </w:rPr>
              <w:t>Times</w:t>
            </w:r>
            <w:r>
              <w:t xml:space="preserve"> reported, even though the Vice President served as chief executive of Halliburton, Co., which earns a large chunk of its energy revenues, about $1.5 billion annually, from the practice.  </w:t>
            </w:r>
          </w:p>
          <w:p>
            <w:pPr>
              <w:jc w:val="both"/>
              <w:pStyle w:val="1"/>
              <w:rPr>
                <w:sz w:val="24"/>
                <w:b w:val="1"/>
                <w:i w:val="1"/>
              </w:rPr>
            </w:pPr>
            <w:r>
              <w:rPr>
                <w:sz w:val="24"/>
                <w:b w:val="1"/>
              </w:rPr>
              <w:t xml:space="preserve">1. Environmental Protection Agency, "</w:t>
            </w:r>
            <w:hyperlink r:id="rId1">
              <w:r>
                <w:rPr>
                  <w:sz w:val="24"/>
                  <w:b w:val="1"/>
                  <w:u w:val="single"/>
                </w:rPr>
                <w:t xml:space="preserve">Study of Potential Impacts of Hydraulic Fracturing of Coalbed Methane Wells on Underground Sources of Drinking Water</w:t>
              </w:r>
            </w:hyperlink>
            <w:r>
              <w:rPr>
                <w:sz w:val="24"/>
                <w:b w:val="1"/>
              </w:rPr>
              <w:t xml:space="preserve">," Office of Ground Water and Drinking Water report, June 2004, accessed December 6, 2006.</w:t>
            </w:r>
          </w:p>
          <w:p>
            <w:pPr>
              <w:jc w:val="both"/>
              <w:ind w:firstLine="540"/>
              <w:pStyle w:val="0"/>
              <w:spacing w:before="100" w:after="100" w:lineRule="auto" w:line="336.0"/>
              <w:rPr>
                <w:sz w:val="30"/>
                <w:color w:val="000000"/>
              </w:rPr>
            </w:pPr>
            <w:r>
              <w:rPr>
                <w:sz w:val="22"/>
                <w:color w:val="000000"/>
              </w:rPr>
              <w:t>.</w:t>
            </w:r>
          </w:p>
        </w:tc>
        <w:tc>
          <w:tcPr>
            <w:tcW w:type="dxa" w:w="7560"/>
          </w:tcPr>
          <w:p>
            <w:pPr>
              <w:pStyle w:val="0"/>
              <w:spacing w:before="100" w:after="100"/>
              <w:rPr>
                <w:sz w:val="20"/>
              </w:rPr>
            </w:pPr>
          </w:p>
          <w:p>
            <w:pPr>
              <w:rPr>
                <w:sz w:val="28"/>
                <w:b w:val="1"/>
              </w:rPr>
            </w:pPr>
            <w:r>
              <w:rPr>
                <w:sz w:val="28"/>
                <w:b w:val="1"/>
              </w:rPr>
              <w:t xml:space="preserve">Выводы EPA по гидроразрыву пласта признаны</w:t>
            </w:r>
          </w:p>
          <w:p>
            <w:pPr>
              <w:rPr>
                <w:sz w:val="28"/>
                <w:b w:val="1"/>
              </w:rPr>
            </w:pPr>
            <w:r>
              <w:rPr>
                <w:sz w:val="28"/>
                <w:b w:val="1"/>
              </w:rPr>
              <w:t xml:space="preserve"> " неподъемными”</w:t>
            </w:r>
          </w:p>
          <w:p>
            <w:pPr/>
            <w:r>
              <w:t xml:space="preserve">Когда в 2004 году было опубликовано исследование EPA1, в котором делается вывод о том, что гидроразрыв пласта "практически не представляет угрозы" для снабжения питьевой водой, несколько ученых EPA оспорили методологию исследования и поставили под сомнение беспристрастность группы экспертов, которая рассмотрела его выводы. Администрация Буша решительно поддерживает гидроразрыв пласта, метод добычи нефти, разработанный Halliburton Co., но экологические группы, а также ученые в рамках EPA предупредили, что эта практика может загрязнять питьевую воду и нуждается в регулировании.</w:t>
            </w:r>
          </w:p>
          <w:p>
            <w:pPr/>
          </w:p>
          <w:p>
            <w:pPr/>
          </w:p>
          <w:p>
            <w:pPr/>
            <w:r>
              <w:t xml:space="preserve">Гидравлический разрыв пласта-это метод, используемый для увеличения количества нефти, которая может быть извлечена из нефтяной скважины. Он включает в себя буквально закачку воды или другой жидкости в горную породу под таким высоким давлением, что она создает новые трещины вокруг нефтяного резервуара. Как описано в информационном бюллетене Министерства энергетики, гидроразрыв пласта используется "для создания дополнительных каналов в нефтяном пласте, которые могут облегчить поток нефти в добывающую скважину."Жидкость для разрыва пласта содержит песок или какой-либо другой "подпирающий агент", чтобы помочь трещинам оставаться открытыми, а также может включать токсичные химические вещества, такие как дизельное топливо.</w:t>
            </w:r>
          </w:p>
          <w:p>
            <w:pPr/>
            <w:r>
              <w:t xml:space="preserve">Когда нефтяные резервуары находятся близко к водоносным горизонтам, существует вероятность того, что между ними может открыться трещина, загрязняющая воду. Критики гидроразрыва утверждают, что поскольку токсичные жидкости, закачиваемые в землю во время гидроразрыва, могут просачиваться в близлежащие грунтовые воды, гидроразрыв должен регулироваться. Жители Алабамы, Колорадо, Нью-Мексико, Вирджинии, Западной Вирджинии и Вайоминга обвинили, что их качество или количество воды изменилось после операций по разрыву газовых скважин вблизи их домов. Нефтяная промышленность неуклонно утверждала, что эта практика безопасна, и что усилия по регулированию гидроразрыва пласта были бы плохой идеей, потому что они "могут иметь значительные неблагоприятные последствия" для отечественного бизнеса по добыче энергии.</w:t>
            </w:r>
          </w:p>
          <w:p>
            <w:pPr/>
          </w:p>
          <w:p>
            <w:pPr/>
          </w:p>
          <w:p>
            <w:pPr/>
          </w:p>
          <w:p>
            <w:pPr/>
            <w:r>
              <w:t xml:space="preserve">Исследование EPA было проведено в ответ на петицию 1994 года в EPA от жителей штата Алабама, утверждающих, что их питьевая вода была загрязнена этим процессом. В 1997 году 11-й окружной апелляционный суд постановил, что гидроразрыв пласта должен регулироваться федеральным законом. Администрация Буша заранее взвесила вопрос о гидроразрыве пласта. Los Angeles Times сообщила, что в докладе энергетической целевой группы вице-президента Чейни за 2001 год рекламировались преимущества гидравлического разрыва пласта, игнорируя его потенциальные последствия, несмотря на неоднократные просьбы ученых EPA включить упоминание об экологических проблемах. Офис Чейни был "вовлечен в дискуссии о том, как трещиноватость должна быть изображена в отчете", сообщает Times, хотя вице-президент служил главным исполнительным директором Halliburton, Co., который зарабатывает большую часть своих энергетических доходов, около $ 1,5 млрд в год, от практики.</w:t>
            </w:r>
          </w:p>
          <w:p>
            <w:pPr/>
          </w:p>
          <w:p>
            <w:pPr/>
          </w:p>
          <w:p>
            <w:pPr>
              <w:rPr>
                <w:b w:val="1"/>
              </w:rPr>
            </w:pPr>
            <w:r>
              <w:rPr>
                <w:sz w:val="24"/>
                <w:b w:val="1"/>
              </w:rPr>
              <w:t xml:space="preserve">1. Агентство по охране окружающей среды, "исследование потенциального воздействия гидроразрыва угольных метановых скважин на подземные источники питьевой воды", отчет Управления подземных вод и питьевой воды, июнь 2004 года, доступ 6 декабря 2006 года.</w:t>
            </w:r>
          </w:p>
        </w:tc>
      </w:tr>
    </w:tbl>
    <w:p>
      <w:pPr>
        <w:pStyle w:val="0"/>
      </w:pPr>
    </w:p>
    <w:sectPr>
      <w:pgSz w:w="16838" w:h="11906"/>
      <w:pgMar w:top="360" w:bottom="1701" w:left="720" w:right="1134"/>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w:abstractNum w:abstractNumId="1">
    <w:lvl w:ilvl="0">
      <w:numFmt w:val="decimal"/>
      <w:lvlText w:val="%1."/>
      <w:start w:val="1"/>
      <w:pPr>
        <w:ind w:left="720" w:hanging="360"/>
      </w:pPr>
      <w:rPr>
        <w:sz w:val="24"/>
      </w:rPr>
    </w:lvl>
    <w:lvl w:ilvl="1">
      <w:numFmt w:val="decimal"/>
      <w:lvlText w:val="%2."/>
      <w:start w:val="1"/>
      <w:pPr>
        <w:ind w:left="1440" w:hanging="360"/>
      </w:pPr>
    </w:lvl>
    <w:lvl w:ilvl="2">
      <w:numFmt w:val="decimal"/>
      <w:lvlText w:val="%3."/>
      <w:start w:val="1"/>
      <w:pPr>
        <w:ind w:left="2160" w:hanging="18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18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180"/>
      </w:pPr>
    </w:lvl>
  </w:abstractNum>
  <w:num w:numId="1">
    <w:abstractNumId w:val="1"/>
  </w:num>
</w:numbering>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Times New Roman" w:ascii="Times New Roman"/>
        <w:sz w:val="20"/>
      </w:rPr>
    </w:rPrDefault>
    <w:pPrDefault>
      <w:pPr>
        <w:spacing w:lineRule="auto" w:line="240.0"/>
      </w:pPr>
    </w:pPrDefault>
  </w:docDefaults>
  <w:style w:styleId="1" w:type="paragraph">
    <w:name w:val="Заголовок 1"/>
    <w:pPr>
      <w:spacing w:before="100" w:after="100"/>
    </w:pPr>
    <w:rPr>
      <w:sz w:val="48"/>
      <w:b w:val="1"/>
    </w:rPr>
  </w:style>
  <w:style w:styleId="0" w:type="paragraph">
    <w:name w:val="Обычный"/>
    <w:rPr>
      <w:sz w:val="24"/>
    </w:rPr>
  </w:style>
</w:styles>
</file>

<file path=word/_rels/document.xml.rels><?xml version='1.0' encoding='utf-8' standalone='yes'?>
<Relationships xmlns="http://schemas.openxmlformats.org/package/2006/relationships"><Relationship TargetMode="External" Type="http://schemas.openxmlformats.org/officeDocument/2006/relationships/hyperlink" Id="rId1" Target="http://www.epa.gov/safewater/uic/cbmstudy.html"/><Relationship Id="rId2" Target="numbering.xml" Type="http://schemas.openxmlformats.org/officeDocument/2006/relationships/numbering"/><Relationship Id="rId3" Target="settings.xml" Type="http://schemas.openxmlformats.org/officeDocument/2006/relationships/settings"/><Relationship Id="rId4"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нефтегаз (3) (2) (копия 1).docx</dc:title>
</cp:coreProperties>
</file>