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3F" w:rsidRPr="00E4743F" w:rsidRDefault="00E4743F" w:rsidP="00E4743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4743F">
        <w:rPr>
          <w:rFonts w:ascii="Times New Roman" w:hAnsi="Times New Roman" w:cs="Times New Roman"/>
          <w:sz w:val="32"/>
          <w:szCs w:val="32"/>
        </w:rPr>
        <w:t>Haushaltswissenschaftliche</w:t>
      </w:r>
      <w:proofErr w:type="spellEnd"/>
      <w:r w:rsidRPr="00E4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743F">
        <w:rPr>
          <w:rFonts w:ascii="Times New Roman" w:hAnsi="Times New Roman" w:cs="Times New Roman"/>
          <w:sz w:val="32"/>
          <w:szCs w:val="32"/>
        </w:rPr>
        <w:t>Einrichtung</w:t>
      </w:r>
      <w:proofErr w:type="spellEnd"/>
      <w:r w:rsidRPr="00E4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743F">
        <w:rPr>
          <w:rFonts w:ascii="Times New Roman" w:hAnsi="Times New Roman" w:cs="Times New Roman"/>
          <w:sz w:val="32"/>
          <w:szCs w:val="32"/>
        </w:rPr>
        <w:t>des</w:t>
      </w:r>
      <w:proofErr w:type="spellEnd"/>
      <w:r w:rsidRPr="00E4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743F">
        <w:rPr>
          <w:rFonts w:ascii="Times New Roman" w:hAnsi="Times New Roman" w:cs="Times New Roman"/>
          <w:sz w:val="32"/>
          <w:szCs w:val="32"/>
        </w:rPr>
        <w:t>Bundeslandes</w:t>
      </w:r>
      <w:proofErr w:type="spellEnd"/>
    </w:p>
    <w:p w:rsidR="00E4743F" w:rsidRPr="00E4743F" w:rsidRDefault="00E4743F" w:rsidP="00E4743F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4743F">
        <w:rPr>
          <w:rFonts w:ascii="Times New Roman" w:hAnsi="Times New Roman" w:cs="Times New Roman"/>
          <w:b/>
          <w:sz w:val="36"/>
          <w:szCs w:val="32"/>
        </w:rPr>
        <w:t>"</w:t>
      </w:r>
      <w:proofErr w:type="spellStart"/>
      <w:r w:rsidRPr="00E4743F">
        <w:rPr>
          <w:rFonts w:ascii="Times New Roman" w:hAnsi="Times New Roman" w:cs="Times New Roman"/>
          <w:b/>
          <w:sz w:val="36"/>
          <w:szCs w:val="32"/>
        </w:rPr>
        <w:t>Wissenschaftliches</w:t>
      </w:r>
      <w:proofErr w:type="spellEnd"/>
      <w:r w:rsidRPr="00E4743F"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 w:rsidRPr="00E4743F">
        <w:rPr>
          <w:rFonts w:ascii="Times New Roman" w:hAnsi="Times New Roman" w:cs="Times New Roman"/>
          <w:b/>
          <w:sz w:val="36"/>
          <w:szCs w:val="32"/>
        </w:rPr>
        <w:t>Zentrum</w:t>
      </w:r>
      <w:proofErr w:type="spellEnd"/>
      <w:r w:rsidRPr="00E4743F"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 w:rsidRPr="00E4743F">
        <w:rPr>
          <w:rFonts w:ascii="Times New Roman" w:hAnsi="Times New Roman" w:cs="Times New Roman"/>
          <w:b/>
          <w:sz w:val="36"/>
          <w:szCs w:val="32"/>
        </w:rPr>
        <w:t>für</w:t>
      </w:r>
      <w:proofErr w:type="spellEnd"/>
      <w:r w:rsidRPr="00E4743F"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 w:rsidRPr="00E4743F">
        <w:rPr>
          <w:rFonts w:ascii="Times New Roman" w:hAnsi="Times New Roman" w:cs="Times New Roman"/>
          <w:b/>
          <w:sz w:val="36"/>
          <w:szCs w:val="32"/>
        </w:rPr>
        <w:t>Neurologie</w:t>
      </w:r>
      <w:proofErr w:type="spellEnd"/>
      <w:r w:rsidRPr="00E4743F">
        <w:rPr>
          <w:rFonts w:ascii="Times New Roman" w:hAnsi="Times New Roman" w:cs="Times New Roman"/>
          <w:b/>
          <w:sz w:val="36"/>
          <w:szCs w:val="32"/>
        </w:rPr>
        <w:t>"</w:t>
      </w:r>
    </w:p>
    <w:p w:rsidR="004B2F7C" w:rsidRDefault="00E4743F" w:rsidP="00E4743F">
      <w:pPr>
        <w:jc w:val="center"/>
        <w:rPr>
          <w:rFonts w:ascii="Times New Roman" w:hAnsi="Times New Roman" w:cs="Times New Roman"/>
          <w:sz w:val="32"/>
          <w:szCs w:val="32"/>
        </w:rPr>
      </w:pPr>
      <w:r w:rsidRPr="00E4743F">
        <w:rPr>
          <w:rFonts w:ascii="Times New Roman" w:hAnsi="Times New Roman" w:cs="Times New Roman"/>
          <w:sz w:val="32"/>
          <w:szCs w:val="32"/>
        </w:rPr>
        <w:t xml:space="preserve">6 </w:t>
      </w:r>
      <w:proofErr w:type="spellStart"/>
      <w:r w:rsidRPr="00E4743F">
        <w:rPr>
          <w:rFonts w:ascii="Times New Roman" w:hAnsi="Times New Roman" w:cs="Times New Roman"/>
          <w:sz w:val="32"/>
          <w:szCs w:val="32"/>
        </w:rPr>
        <w:t>neurologische</w:t>
      </w:r>
      <w:proofErr w:type="spellEnd"/>
      <w:r w:rsidRPr="00E4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743F">
        <w:rPr>
          <w:rFonts w:ascii="Times New Roman" w:hAnsi="Times New Roman" w:cs="Times New Roman"/>
          <w:sz w:val="32"/>
          <w:szCs w:val="32"/>
        </w:rPr>
        <w:t>Abteilung</w:t>
      </w:r>
      <w:proofErr w:type="spellEnd"/>
    </w:p>
    <w:p w:rsidR="00E4743F" w:rsidRPr="00E4743F" w:rsidRDefault="00E4743F" w:rsidP="00E4743F">
      <w:pPr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proofErr w:type="spellStart"/>
      <w:r w:rsidRPr="00E4743F">
        <w:rPr>
          <w:rFonts w:ascii="Times New Roman" w:hAnsi="Times New Roman" w:cs="Times New Roman"/>
          <w:sz w:val="23"/>
          <w:szCs w:val="23"/>
          <w:shd w:val="clear" w:color="auto" w:fill="FFFFFF"/>
        </w:rPr>
        <w:t>Volokolamskoye</w:t>
      </w:r>
      <w:proofErr w:type="spellEnd"/>
      <w:r w:rsidRPr="00E4743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E4743F">
        <w:rPr>
          <w:rFonts w:ascii="Times New Roman" w:hAnsi="Times New Roman" w:cs="Times New Roman"/>
          <w:sz w:val="23"/>
          <w:szCs w:val="23"/>
          <w:shd w:val="clear" w:color="auto" w:fill="FFFFFF"/>
        </w:rPr>
        <w:t>shosse</w:t>
      </w:r>
      <w:proofErr w:type="spellEnd"/>
      <w:r w:rsidRPr="00E4743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80Moskau, 125367, </w:t>
      </w:r>
      <w:proofErr w:type="spellStart"/>
      <w:r w:rsidRPr="00E4743F">
        <w:rPr>
          <w:rFonts w:ascii="Times New Roman" w:hAnsi="Times New Roman" w:cs="Times New Roman"/>
          <w:sz w:val="23"/>
          <w:szCs w:val="23"/>
          <w:shd w:val="clear" w:color="auto" w:fill="FFFFFF"/>
        </w:rPr>
        <w:t>Telefon</w:t>
      </w:r>
      <w:proofErr w:type="spellEnd"/>
      <w:r w:rsidRPr="00E4743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: (495) 374-77-76, (495) 490-44-45; </w:t>
      </w:r>
      <w:proofErr w:type="spellStart"/>
      <w:r w:rsidRPr="00E4743F">
        <w:rPr>
          <w:rFonts w:ascii="Times New Roman" w:hAnsi="Times New Roman" w:cs="Times New Roman"/>
          <w:sz w:val="23"/>
          <w:szCs w:val="23"/>
          <w:shd w:val="clear" w:color="auto" w:fill="FFFFFF"/>
        </w:rPr>
        <w:t>Fax</w:t>
      </w:r>
      <w:proofErr w:type="spellEnd"/>
      <w:r w:rsidRPr="00E4743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(495) 490-22-10</w:t>
      </w:r>
    </w:p>
    <w:p w:rsidR="00E4743F" w:rsidRDefault="00E4743F" w:rsidP="00E4743F">
      <w:pPr>
        <w:jc w:val="center"/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</w:pPr>
      <w:proofErr w:type="spellStart"/>
      <w:r w:rsidRPr="00E4743F">
        <w:rPr>
          <w:rFonts w:ascii="Times New Roman" w:hAnsi="Times New Roman" w:cs="Times New Roman"/>
          <w:sz w:val="23"/>
          <w:szCs w:val="23"/>
          <w:shd w:val="clear" w:color="auto" w:fill="FFFFFF"/>
        </w:rPr>
        <w:t>E-Mail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 xml:space="preserve"> </w:t>
      </w:r>
      <w:hyperlink r:id="rId4" w:history="1">
        <w:r w:rsidRPr="001D1815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  <w:lang w:val="en-US"/>
          </w:rPr>
          <w:t>in-6ni@yandex.ru</w:t>
        </w:r>
      </w:hyperlink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; </w:t>
      </w:r>
      <w:proofErr w:type="spellStart"/>
      <w:r w:rsidRPr="00E4743F">
        <w:rPr>
          <w:rFonts w:ascii="Times New Roman" w:hAnsi="Times New Roman" w:cs="Times New Roman"/>
          <w:sz w:val="23"/>
          <w:szCs w:val="23"/>
          <w:shd w:val="clear" w:color="auto" w:fill="FFFFFF"/>
        </w:rPr>
        <w:t>Webseite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: </w:t>
      </w:r>
      <w:hyperlink r:id="rId5" w:history="1">
        <w:r w:rsidRPr="001D1815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  <w:lang w:val="en-US"/>
          </w:rPr>
          <w:t>http</w:t>
        </w:r>
        <w:r w:rsidRPr="001D1815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://</w:t>
        </w:r>
        <w:r w:rsidRPr="001D1815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  <w:lang w:val="en-US"/>
          </w:rPr>
          <w:t>www.neurology.ru</w:t>
        </w:r>
      </w:hyperlink>
    </w:p>
    <w:p w:rsidR="00E4743F" w:rsidRDefault="00E4743F" w:rsidP="00E4743F">
      <w:pPr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  <w:proofErr w:type="spellStart"/>
      <w:r w:rsidRPr="00E4743F">
        <w:rPr>
          <w:rFonts w:ascii="Times New Roman" w:hAnsi="Times New Roman" w:cs="Times New Roman"/>
          <w:b/>
          <w:sz w:val="36"/>
          <w:szCs w:val="32"/>
          <w:lang w:val="en-US"/>
        </w:rPr>
        <w:t>Entlassungsübersicht</w:t>
      </w:r>
      <w:proofErr w:type="spellEnd"/>
      <w:r w:rsidRPr="00E4743F">
        <w:rPr>
          <w:rFonts w:ascii="Times New Roman" w:hAnsi="Times New Roman" w:cs="Times New Roman"/>
          <w:b/>
          <w:sz w:val="36"/>
          <w:szCs w:val="32"/>
          <w:lang w:val="en-US"/>
        </w:rPr>
        <w:t xml:space="preserve"> Nr. 2423-19</w:t>
      </w:r>
    </w:p>
    <w:p w:rsidR="00E4743F" w:rsidRDefault="00443490" w:rsidP="00443490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Artem</w:t>
      </w:r>
      <w:proofErr w:type="spellEnd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Deminov</w:t>
      </w:r>
      <w:proofErr w:type="spellEnd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geboren</w:t>
      </w:r>
      <w:proofErr w:type="spellEnd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1991</w:t>
      </w:r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(28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alt),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in die 6. </w:t>
      </w:r>
      <w:proofErr w:type="spellStart"/>
      <w:proofErr w:type="gramStart"/>
      <w:r w:rsidRPr="00443490">
        <w:rPr>
          <w:rFonts w:ascii="Times New Roman" w:hAnsi="Times New Roman" w:cs="Times New Roman"/>
          <w:sz w:val="28"/>
          <w:szCs w:val="28"/>
          <w:lang w:val="en-US"/>
        </w:rPr>
        <w:t>neurologische</w:t>
      </w:r>
      <w:proofErr w:type="spellEnd"/>
      <w:proofErr w:type="gram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Abteilung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des FGBNU "N</w:t>
      </w:r>
      <w:r w:rsidR="00642B5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N"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eingeliefert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23.07.</w:t>
      </w:r>
      <w:proofErr w:type="gram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2019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02.08.</w:t>
      </w:r>
      <w:proofErr w:type="gram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</w:p>
    <w:p w:rsidR="00443490" w:rsidRPr="00443490" w:rsidRDefault="00443490" w:rsidP="00443490">
      <w:pPr>
        <w:ind w:left="-1134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Diagnose:</w:t>
      </w:r>
    </w:p>
    <w:p w:rsidR="00443490" w:rsidRDefault="00443490" w:rsidP="00443490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Grunderkrankung</w:t>
      </w:r>
      <w:proofErr w:type="spellEnd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Motoneuron-Krankheit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[G12.2]</w:t>
      </w:r>
    </w:p>
    <w:p w:rsidR="00443490" w:rsidRDefault="00443490" w:rsidP="00443490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Begleiterkrankungen</w:t>
      </w:r>
      <w:proofErr w:type="spellEnd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vorhanden</w:t>
      </w:r>
      <w:proofErr w:type="spellEnd"/>
    </w:p>
    <w:p w:rsidR="00443490" w:rsidRDefault="00443490" w:rsidP="00443490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Beschwerden</w:t>
      </w:r>
      <w:proofErr w:type="spellEnd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bei</w:t>
      </w:r>
      <w:proofErr w:type="spellEnd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43490">
        <w:rPr>
          <w:rFonts w:ascii="Times New Roman" w:hAnsi="Times New Roman" w:cs="Times New Roman"/>
          <w:b/>
          <w:sz w:val="28"/>
          <w:szCs w:val="28"/>
          <w:lang w:val="en-US"/>
        </w:rPr>
        <w:t>Aufnahme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Schwäche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Armen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Beinen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Zucken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Muskeln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Armen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Beinen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3490">
        <w:rPr>
          <w:rFonts w:ascii="Times New Roman" w:hAnsi="Times New Roman" w:cs="Times New Roman"/>
          <w:sz w:val="28"/>
          <w:szCs w:val="28"/>
          <w:lang w:val="en-US"/>
        </w:rPr>
        <w:t>Rumpf</w:t>
      </w:r>
      <w:proofErr w:type="spellEnd"/>
      <w:r w:rsidRPr="004434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2738" w:rsidRDefault="00622738" w:rsidP="00622738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Anamnese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gegenwärtigen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Krankheit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Betrachtet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krank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2017 (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ungefähr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Mal auf die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Schwäche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zweiten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Fingers seiner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linken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Hand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aufmerksam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machte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wachsen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begann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innerhalb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weniger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Monate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auf die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gesamte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linke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Hand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ausbreitete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Krankheit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schritt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allmählich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voran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: In den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nächsten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sechs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Monaten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ausgeprägten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Gewichtsabnahme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Muskeln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Arme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wobei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sowohl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Gliedmaßen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Rumpf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stören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begannen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. In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Klinik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Wohnort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angewendet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Magnetresonanztomographie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Gehirns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und des </w:t>
      </w:r>
      <w:proofErr w:type="spellStart"/>
      <w:proofErr w:type="gramStart"/>
      <w:r w:rsidRPr="00622738">
        <w:rPr>
          <w:rFonts w:ascii="Times New Roman" w:hAnsi="Times New Roman" w:cs="Times New Roman"/>
          <w:sz w:val="28"/>
          <w:szCs w:val="28"/>
          <w:lang w:val="en-US"/>
        </w:rPr>
        <w:t>Halses</w:t>
      </w:r>
      <w:proofErr w:type="spellEnd"/>
      <w:proofErr w:type="gram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durchgeführt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Pathologien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gefunden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(04.07.18).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Elektroneuromyographie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17.08.2008: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Anzeichen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ausgeprägten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Läsion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Medianus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(D&gt; S) </w:t>
      </w:r>
      <w:proofErr w:type="spellStart"/>
      <w:proofErr w:type="gram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Axonopathie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ausgeprägte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Läsion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ulnaris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(D = S)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Art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Axonomyelinopathie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geringfügige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Funktionsstörung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Radialis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Axonopathie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Motorfasern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Juli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2018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neurologischen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Klinik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Sibirischen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Staatlichen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Medizinischen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Universität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stationäre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Behandlung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durchgeführt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Krankheit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Motoneurons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Sporadischer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Fall. </w:t>
      </w:r>
      <w:proofErr w:type="spellStart"/>
      <w:proofErr w:type="gramStart"/>
      <w:r w:rsidRPr="00622738">
        <w:rPr>
          <w:rFonts w:ascii="Times New Roman" w:hAnsi="Times New Roman" w:cs="Times New Roman"/>
          <w:sz w:val="28"/>
          <w:szCs w:val="28"/>
          <w:lang w:val="en-US"/>
        </w:rPr>
        <w:t>Hohe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Form"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diagnostiziert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Juli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MRT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Halswirbelsäule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Funktionstests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durchgeführt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>, um die Hirayama-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Krankheit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auszuschließen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Anomalien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gefunden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. In den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letzten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Wochen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Verschlechterung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in Form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Zunahme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Schwäche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Gliedmaßen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ergeben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tägliche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Aktivität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Patienten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erheblich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einschränkt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Schwierigkeiten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Alltag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und in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Selbstversorgung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verursacht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Krankenhausaufenthalt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sechsten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neurologischen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Abteilung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des FGBNU </w:t>
      </w:r>
      <w:r w:rsidRPr="00622738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="00642B5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22738">
        <w:rPr>
          <w:rFonts w:ascii="Times New Roman" w:hAnsi="Times New Roman" w:cs="Times New Roman"/>
          <w:sz w:val="28"/>
          <w:szCs w:val="28"/>
          <w:lang w:val="en-US"/>
        </w:rPr>
        <w:t>N (</w:t>
      </w:r>
      <w:proofErr w:type="spellStart"/>
      <w:r w:rsidRPr="00622738">
        <w:rPr>
          <w:rFonts w:ascii="Times New Roman" w:hAnsi="Times New Roman" w:cs="Times New Roman"/>
          <w:sz w:val="28"/>
          <w:szCs w:val="28"/>
        </w:rPr>
        <w:t>Haushaltswissenschaftliche</w:t>
      </w:r>
      <w:proofErr w:type="spellEnd"/>
      <w:r w:rsidRPr="00622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</w:rPr>
        <w:t>Einrichtung</w:t>
      </w:r>
      <w:proofErr w:type="spellEnd"/>
      <w:r w:rsidRPr="00622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622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</w:rPr>
        <w:t>Bundeslandes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273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22738">
        <w:rPr>
          <w:rFonts w:ascii="Times New Roman" w:hAnsi="Times New Roman" w:cs="Times New Roman"/>
          <w:sz w:val="28"/>
          <w:szCs w:val="28"/>
        </w:rPr>
        <w:t>Wissenschaftliches</w:t>
      </w:r>
      <w:proofErr w:type="spellEnd"/>
      <w:r w:rsidRPr="00622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</w:rPr>
        <w:t>Zentrum</w:t>
      </w:r>
      <w:proofErr w:type="spellEnd"/>
      <w:r w:rsidRPr="00622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22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</w:rPr>
        <w:t>Neurologie</w:t>
      </w:r>
      <w:proofErr w:type="spellEnd"/>
      <w:r w:rsidRPr="00622738">
        <w:rPr>
          <w:rFonts w:ascii="Times New Roman" w:hAnsi="Times New Roman" w:cs="Times New Roman"/>
          <w:sz w:val="28"/>
          <w:szCs w:val="28"/>
        </w:rPr>
        <w:t>"</w:t>
      </w:r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Untersuchung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Behandlung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22738" w:rsidRPr="000801E9" w:rsidRDefault="00622738" w:rsidP="00622738">
      <w:pPr>
        <w:ind w:left="-1134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801E9">
        <w:rPr>
          <w:rFonts w:ascii="Times New Roman" w:hAnsi="Times New Roman" w:cs="Times New Roman"/>
          <w:b/>
          <w:sz w:val="28"/>
          <w:szCs w:val="28"/>
          <w:lang w:val="en-US"/>
        </w:rPr>
        <w:t>Allgemeine</w:t>
      </w:r>
      <w:proofErr w:type="spellEnd"/>
      <w:r w:rsidRPr="000801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Geschichte:</w:t>
      </w:r>
    </w:p>
    <w:p w:rsidR="00622738" w:rsidRPr="00622738" w:rsidRDefault="00622738" w:rsidP="00622738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>Komorbiditäten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bestreitet</w:t>
      </w:r>
      <w:proofErr w:type="spellEnd"/>
    </w:p>
    <w:p w:rsidR="00622738" w:rsidRPr="00622738" w:rsidRDefault="00622738" w:rsidP="00622738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>übertragene</w:t>
      </w:r>
      <w:proofErr w:type="spellEnd"/>
      <w:proofErr w:type="gramEnd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>Operationen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verweigert</w:t>
      </w:r>
      <w:proofErr w:type="spellEnd"/>
    </w:p>
    <w:p w:rsidR="00622738" w:rsidRPr="00622738" w:rsidRDefault="00622738" w:rsidP="00622738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>allergische</w:t>
      </w:r>
      <w:proofErr w:type="spellEnd"/>
      <w:proofErr w:type="gramEnd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>Anamnese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laut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Patient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belastet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2738" w:rsidRPr="00622738" w:rsidRDefault="00622738" w:rsidP="00622738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>Epidemiologische</w:t>
      </w:r>
      <w:proofErr w:type="spellEnd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>Vorgeschichte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: HIV, Syphilis, Hepatitis B und C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leugnen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Tuberkulose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bestreitet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Kontakte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infektiösen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Patienten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bleibt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epidemiologisch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ungünstigen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Gebieten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2738" w:rsidRDefault="00622738" w:rsidP="00622738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01E9">
        <w:rPr>
          <w:rFonts w:ascii="Times New Roman" w:hAnsi="Times New Roman" w:cs="Times New Roman"/>
          <w:i/>
          <w:sz w:val="28"/>
          <w:szCs w:val="28"/>
          <w:lang w:val="en-US"/>
        </w:rPr>
        <w:t>Familienanamnese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Grunderkrankung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738">
        <w:rPr>
          <w:rFonts w:ascii="Times New Roman" w:hAnsi="Times New Roman" w:cs="Times New Roman"/>
          <w:sz w:val="28"/>
          <w:szCs w:val="28"/>
          <w:lang w:val="en-US"/>
        </w:rPr>
        <w:t>belastet</w:t>
      </w:r>
      <w:proofErr w:type="spellEnd"/>
      <w:r w:rsidRPr="006227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3F03" w:rsidRPr="00EB3F03" w:rsidRDefault="00EB3F03" w:rsidP="00EB3F03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>Studien</w:t>
      </w:r>
      <w:proofErr w:type="spellEnd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Röntgenaufnahme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Brustorgane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(23.07.2019):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Zeitpunkt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Studie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radiologisch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sichtbaren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frischen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pathologischen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Veränderungen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sichtbaren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Teilen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Lunge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festgestellt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Tests </w:t>
      </w:r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auf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3F03">
        <w:rPr>
          <w:rFonts w:ascii="Times New Roman" w:hAnsi="Times New Roman" w:cs="Times New Roman"/>
          <w:sz w:val="28"/>
          <w:szCs w:val="28"/>
          <w:lang w:val="en-US"/>
        </w:rPr>
        <w:t>HIV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Syphilis, Hepatitis B und C (23.07.2019) -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negativ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3F03" w:rsidRPr="00EB3F03" w:rsidRDefault="00EB3F03" w:rsidP="00EB3F03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>Somatischer</w:t>
      </w:r>
      <w:proofErr w:type="spellEnd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Status </w:t>
      </w:r>
      <w:proofErr w:type="spellStart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>bei</w:t>
      </w:r>
      <w:proofErr w:type="spellEnd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>Aufnahme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Allgemeiner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Zustand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zufriedenstellend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Höhe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- 190 cm,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Gewicht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- 80 kg.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Haut und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sichtbare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Schleimhäute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physiologischer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Farbe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Feuchtigkeit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sauber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peripheren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Ödeme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Diffuser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Muskelschwund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Hustenimpuls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zufriedenstellend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Während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Auskultation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vesikuläre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Atmung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hören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kein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Keuchen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Blutdruck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130/180 mm. Hg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Puls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70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Schläge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pro Minute.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Bauch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weich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beim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Abtasten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schmerzfrei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Atemfrequenz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17 pro Minute.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Herzgeräusche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klar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kein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Geräusch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Leber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Milz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vergrößert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dysurischen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Phänomene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Schlagsymptom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beiden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Seiten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negativ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B3F03" w:rsidRPr="00622738" w:rsidRDefault="00EB3F03" w:rsidP="00EB3F03">
      <w:pPr>
        <w:ind w:left="-113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>Neurologischer</w:t>
      </w:r>
      <w:proofErr w:type="spellEnd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Status </w:t>
      </w:r>
      <w:proofErr w:type="spellStart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>bei</w:t>
      </w:r>
      <w:proofErr w:type="spellEnd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b/>
          <w:sz w:val="28"/>
          <w:szCs w:val="28"/>
          <w:lang w:val="en-US"/>
        </w:rPr>
        <w:t>Aufnahme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: Das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Bewusstsein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klar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Patient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Kontakt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In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Ort und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richtig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ausgerichtet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Es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meningealen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Anzeichen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Angaben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Patienten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unterscheidet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Gerüche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Sichtfelder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groben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Schätzung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geändert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Augenschlitze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Pupillen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gleich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Reaktion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Licht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lebhaft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symmetrisch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Volle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Bewegung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Augäpfel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Empfindlichkeit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Gesicht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gestört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Gesicht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Ruhe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Durchführung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Nachahmungstests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symmetrisch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Gehör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subjektiv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beeinträchtigt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Installationsnystagmus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Schlucken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und Phonation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gestört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Leichte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Dysarthrie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Pharyngealreflex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reduziert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weiche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Gaumen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zieht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während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Phonation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zufriedenstellend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Angst in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Zunge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Zunge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beim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Zurückziehen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Mundhöhle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entlang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Mittellinie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Die Kraft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Nackenmuskulatur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zufriedenstellend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Muskelkraft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Händen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auf 2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Punkte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rechts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und auf 2,5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lastRenderedPageBreak/>
        <w:t>Punkte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links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reduziert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wobei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S &lt;D in den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Beugern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Arme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Punkte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Beinen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D&gt; S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überwiegt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Hypotrophie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Faszikulationen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Extremitätenmuskulatur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Fußklone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: ​​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5-6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Striche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rechts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2-3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Striche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links. </w:t>
      </w:r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Patella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kloniert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Babinskys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Reflex auf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beiden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Seiten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Oppenheims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Reflex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rechts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Rossolimos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Reflex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rechts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Reflexo-oraler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Automatismus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pathologische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Handzeichen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fehlen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Fingernasen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-Test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beiden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Seiten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zufriedenstellend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durchgeführt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Calcaneal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Knie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-Test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leichter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Dysmetrie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absichtlichem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Zittern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Es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eindeutigen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Verstöße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gegen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Empfindlichkeit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Beckenfunktionen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3F03">
        <w:rPr>
          <w:rFonts w:ascii="Times New Roman" w:hAnsi="Times New Roman" w:cs="Times New Roman"/>
          <w:sz w:val="28"/>
          <w:szCs w:val="28"/>
          <w:lang w:val="en-US"/>
        </w:rPr>
        <w:t>beeinträchtigt</w:t>
      </w:r>
      <w:proofErr w:type="spellEnd"/>
      <w:r w:rsidRPr="00EB3F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4792F" w:rsidRPr="0034792F" w:rsidRDefault="0034792F" w:rsidP="0034792F">
      <w:pPr>
        <w:ind w:left="-1134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4792F">
        <w:rPr>
          <w:rFonts w:ascii="Times New Roman" w:hAnsi="Times New Roman" w:cs="Times New Roman"/>
          <w:b/>
          <w:sz w:val="28"/>
          <w:szCs w:val="28"/>
          <w:lang w:val="en-US"/>
        </w:rPr>
        <w:t>Umfrageergebnisse</w:t>
      </w:r>
      <w:proofErr w:type="spellEnd"/>
      <w:r w:rsidRPr="003479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43490" w:rsidRDefault="0034792F" w:rsidP="0034792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4792F">
        <w:rPr>
          <w:rFonts w:ascii="Times New Roman" w:hAnsi="Times New Roman" w:cs="Times New Roman"/>
          <w:b/>
          <w:sz w:val="28"/>
          <w:szCs w:val="28"/>
          <w:lang w:val="en-US"/>
        </w:rPr>
        <w:t>Vollständiges</w:t>
      </w:r>
      <w:proofErr w:type="spellEnd"/>
      <w:r w:rsidRPr="003479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4792F">
        <w:rPr>
          <w:rFonts w:ascii="Times New Roman" w:hAnsi="Times New Roman" w:cs="Times New Roman"/>
          <w:b/>
          <w:sz w:val="28"/>
          <w:szCs w:val="28"/>
          <w:lang w:val="en-US"/>
        </w:rPr>
        <w:t>Blutbild</w:t>
      </w:r>
      <w:proofErr w:type="spellEnd"/>
      <w:r w:rsidRPr="0034792F">
        <w:rPr>
          <w:rFonts w:ascii="Times New Roman" w:hAnsi="Times New Roman" w:cs="Times New Roman"/>
          <w:sz w:val="28"/>
          <w:szCs w:val="28"/>
          <w:lang w:val="en-US"/>
        </w:rPr>
        <w:t xml:space="preserve"> (24.07.19): </w:t>
      </w:r>
      <w:proofErr w:type="spellStart"/>
      <w:r w:rsidRPr="0034792F">
        <w:rPr>
          <w:rFonts w:ascii="Times New Roman" w:hAnsi="Times New Roman" w:cs="Times New Roman"/>
          <w:sz w:val="28"/>
          <w:szCs w:val="28"/>
          <w:lang w:val="en-US"/>
        </w:rPr>
        <w:t>Hämoglobin</w:t>
      </w:r>
      <w:proofErr w:type="spellEnd"/>
      <w:r w:rsidRPr="0034792F">
        <w:rPr>
          <w:rFonts w:ascii="Times New Roman" w:hAnsi="Times New Roman" w:cs="Times New Roman"/>
          <w:sz w:val="28"/>
          <w:szCs w:val="28"/>
          <w:lang w:val="en-US"/>
        </w:rPr>
        <w:t xml:space="preserve"> - 149 g / l (N: 130,0-160,0 g /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4792F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34792F">
        <w:rPr>
          <w:rFonts w:ascii="Times New Roman" w:hAnsi="Times New Roman" w:cs="Times New Roman"/>
          <w:sz w:val="28"/>
          <w:szCs w:val="28"/>
          <w:lang w:val="en-US"/>
        </w:rPr>
        <w:t>Erythrozyten</w:t>
      </w:r>
      <w:proofErr w:type="spellEnd"/>
      <w:r w:rsidRPr="0034792F">
        <w:rPr>
          <w:rFonts w:ascii="Times New Roman" w:hAnsi="Times New Roman" w:cs="Times New Roman"/>
          <w:sz w:val="28"/>
          <w:szCs w:val="28"/>
          <w:lang w:val="en-US"/>
        </w:rPr>
        <w:t xml:space="preserve"> - 5,0 * 10 ^ 12 / l (N: 4,0-5,0 * 10 ^ 12 / l) , </w:t>
      </w:r>
      <w:proofErr w:type="spellStart"/>
      <w:r w:rsidRPr="0034792F">
        <w:rPr>
          <w:rFonts w:ascii="Times New Roman" w:hAnsi="Times New Roman" w:cs="Times New Roman"/>
          <w:sz w:val="28"/>
          <w:szCs w:val="28"/>
          <w:lang w:val="en-US"/>
        </w:rPr>
        <w:t>Farbindex</w:t>
      </w:r>
      <w:proofErr w:type="spellEnd"/>
      <w:r w:rsidRPr="0034792F">
        <w:rPr>
          <w:rFonts w:ascii="Times New Roman" w:hAnsi="Times New Roman" w:cs="Times New Roman"/>
          <w:sz w:val="28"/>
          <w:szCs w:val="28"/>
          <w:lang w:val="en-US"/>
        </w:rPr>
        <w:t xml:space="preserve"> - 0,89 (N: 0,85-1,05), </w:t>
      </w:r>
      <w:proofErr w:type="spellStart"/>
      <w:r w:rsidRPr="0034792F">
        <w:rPr>
          <w:rFonts w:ascii="Times New Roman" w:hAnsi="Times New Roman" w:cs="Times New Roman"/>
          <w:sz w:val="28"/>
          <w:szCs w:val="28"/>
          <w:lang w:val="en-US"/>
        </w:rPr>
        <w:t>Blutplättchen</w:t>
      </w:r>
      <w:proofErr w:type="spellEnd"/>
      <w:r w:rsidRPr="0034792F">
        <w:rPr>
          <w:rFonts w:ascii="Times New Roman" w:hAnsi="Times New Roman" w:cs="Times New Roman"/>
          <w:sz w:val="28"/>
          <w:szCs w:val="28"/>
          <w:lang w:val="en-US"/>
        </w:rPr>
        <w:t xml:space="preserve"> - 186,0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*10 </w:t>
      </w:r>
      <w:r w:rsidRPr="0034792F">
        <w:rPr>
          <w:rFonts w:ascii="Times New Roman" w:hAnsi="Times New Roman" w:cs="Times New Roman"/>
          <w:sz w:val="28"/>
          <w:szCs w:val="28"/>
          <w:lang w:val="en-US"/>
        </w:rPr>
        <w:t>^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 </w:t>
      </w:r>
      <w:r w:rsidRPr="0034792F">
        <w:rPr>
          <w:rFonts w:ascii="Times New Roman" w:hAnsi="Times New Roman" w:cs="Times New Roman"/>
          <w:sz w:val="28"/>
          <w:szCs w:val="28"/>
          <w:lang w:val="en-US"/>
        </w:rPr>
        <w:t>(N: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150.0-320.0*10 </w:t>
      </w:r>
      <w:r w:rsidRPr="0034792F">
        <w:rPr>
          <w:rFonts w:ascii="Times New Roman" w:hAnsi="Times New Roman" w:cs="Times New Roman"/>
          <w:sz w:val="28"/>
          <w:szCs w:val="28"/>
          <w:lang w:val="en-US"/>
        </w:rPr>
        <w:t>^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4792F">
        <w:rPr>
          <w:rFonts w:ascii="Times New Roman" w:hAnsi="Times New Roman" w:cs="Times New Roman"/>
          <w:sz w:val="28"/>
          <w:szCs w:val="28"/>
        </w:rPr>
        <w:t>Leukozyten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5,2*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 w:rsidRPr="0034792F">
        <w:rPr>
          <w:rFonts w:ascii="Times New Roman" w:hAnsi="Times New Roman" w:cs="Times New Roman"/>
          <w:sz w:val="28"/>
          <w:szCs w:val="28"/>
          <w:lang w:val="en-US"/>
        </w:rPr>
        <w:t>^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="007F49D5">
        <w:rPr>
          <w:rFonts w:ascii="Times New Roman" w:hAnsi="Times New Roman" w:cs="Times New Roman"/>
          <w:sz w:val="28"/>
          <w:szCs w:val="28"/>
        </w:rPr>
        <w:t xml:space="preserve"> </w:t>
      </w:r>
      <w:r w:rsidR="007F49D5" w:rsidRPr="0034792F">
        <w:rPr>
          <w:rFonts w:ascii="Times New Roman" w:hAnsi="Times New Roman" w:cs="Times New Roman"/>
          <w:sz w:val="28"/>
          <w:szCs w:val="28"/>
          <w:lang w:val="en-US"/>
        </w:rPr>
        <w:t>(N: 4,0-</w:t>
      </w:r>
      <w:r w:rsidR="007F49D5">
        <w:rPr>
          <w:rFonts w:ascii="Times New Roman" w:hAnsi="Times New Roman" w:cs="Times New Roman"/>
          <w:sz w:val="28"/>
          <w:szCs w:val="28"/>
        </w:rPr>
        <w:t>9,0*</w:t>
      </w:r>
      <w:r w:rsidR="007F49D5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 w:rsidR="007F49D5" w:rsidRPr="0034792F">
        <w:rPr>
          <w:rFonts w:ascii="Times New Roman" w:hAnsi="Times New Roman" w:cs="Times New Roman"/>
          <w:sz w:val="28"/>
          <w:szCs w:val="28"/>
          <w:lang w:val="en-US"/>
        </w:rPr>
        <w:t>^</w:t>
      </w:r>
      <w:r w:rsidR="007F49D5"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  <w:r w:rsidR="007F49D5">
        <w:rPr>
          <w:rFonts w:ascii="Times New Roman" w:hAnsi="Times New Roman" w:cs="Times New Roman"/>
          <w:sz w:val="28"/>
          <w:szCs w:val="28"/>
        </w:rPr>
        <w:t>/</w:t>
      </w:r>
      <w:r w:rsidR="007F49D5"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="007F49D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F49D5" w:rsidRPr="007F49D5">
        <w:rPr>
          <w:rFonts w:ascii="Times New Roman" w:hAnsi="Times New Roman" w:cs="Times New Roman"/>
          <w:sz w:val="28"/>
          <w:szCs w:val="28"/>
        </w:rPr>
        <w:t>Stabneutrophile</w:t>
      </w:r>
      <w:proofErr w:type="spellEnd"/>
      <w:r w:rsidR="007F49D5">
        <w:rPr>
          <w:rFonts w:ascii="Times New Roman" w:hAnsi="Times New Roman" w:cs="Times New Roman"/>
          <w:sz w:val="28"/>
          <w:szCs w:val="28"/>
        </w:rPr>
        <w:t xml:space="preserve"> – 0% (</w:t>
      </w:r>
      <w:r w:rsidR="007F49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F49D5">
        <w:rPr>
          <w:rFonts w:ascii="Times New Roman" w:hAnsi="Times New Roman" w:cs="Times New Roman"/>
          <w:sz w:val="28"/>
          <w:szCs w:val="28"/>
        </w:rPr>
        <w:t xml:space="preserve">: 1,0-6,0%), </w:t>
      </w:r>
      <w:proofErr w:type="spellStart"/>
      <w:r w:rsidR="007F49D5" w:rsidRPr="007F49D5">
        <w:rPr>
          <w:rFonts w:ascii="Times New Roman" w:hAnsi="Times New Roman" w:cs="Times New Roman"/>
          <w:sz w:val="28"/>
          <w:szCs w:val="28"/>
        </w:rPr>
        <w:t>Segmentierte</w:t>
      </w:r>
      <w:proofErr w:type="spellEnd"/>
      <w:r w:rsidR="007F49D5" w:rsidRPr="007F4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9D5" w:rsidRPr="007F49D5">
        <w:rPr>
          <w:rFonts w:ascii="Times New Roman" w:hAnsi="Times New Roman" w:cs="Times New Roman"/>
          <w:sz w:val="28"/>
          <w:szCs w:val="28"/>
        </w:rPr>
        <w:t>Neutrophile</w:t>
      </w:r>
      <w:proofErr w:type="spellEnd"/>
      <w:r w:rsidR="007F49D5">
        <w:rPr>
          <w:rFonts w:ascii="Times New Roman" w:hAnsi="Times New Roman" w:cs="Times New Roman"/>
          <w:sz w:val="28"/>
          <w:szCs w:val="28"/>
        </w:rPr>
        <w:t xml:space="preserve"> – 51 % (</w:t>
      </w:r>
      <w:r w:rsidR="007F49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F49D5">
        <w:rPr>
          <w:rFonts w:ascii="Times New Roman" w:hAnsi="Times New Roman" w:cs="Times New Roman"/>
          <w:sz w:val="28"/>
          <w:szCs w:val="28"/>
        </w:rPr>
        <w:t xml:space="preserve">: 47,0-72,0 %), </w:t>
      </w:r>
      <w:proofErr w:type="spellStart"/>
      <w:r w:rsidR="007F49D5" w:rsidRPr="007F49D5">
        <w:rPr>
          <w:rFonts w:ascii="Times New Roman" w:hAnsi="Times New Roman" w:cs="Times New Roman"/>
          <w:sz w:val="28"/>
          <w:szCs w:val="28"/>
        </w:rPr>
        <w:t>Eosinophile</w:t>
      </w:r>
      <w:proofErr w:type="spellEnd"/>
      <w:r w:rsidR="007F49D5">
        <w:rPr>
          <w:rFonts w:ascii="Times New Roman" w:hAnsi="Times New Roman" w:cs="Times New Roman"/>
          <w:sz w:val="28"/>
          <w:szCs w:val="28"/>
        </w:rPr>
        <w:t xml:space="preserve"> – 1% (</w:t>
      </w:r>
      <w:r w:rsidR="007F49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F49D5">
        <w:rPr>
          <w:rFonts w:ascii="Times New Roman" w:hAnsi="Times New Roman" w:cs="Times New Roman"/>
          <w:sz w:val="28"/>
          <w:szCs w:val="28"/>
        </w:rPr>
        <w:t xml:space="preserve">: 0,5-5,0 %), </w:t>
      </w:r>
      <w:proofErr w:type="spellStart"/>
      <w:r w:rsidR="007F49D5" w:rsidRPr="007F49D5">
        <w:rPr>
          <w:rFonts w:ascii="Times New Roman" w:hAnsi="Times New Roman" w:cs="Times New Roman"/>
          <w:sz w:val="28"/>
          <w:szCs w:val="28"/>
        </w:rPr>
        <w:t>Lymphozyten</w:t>
      </w:r>
      <w:proofErr w:type="spellEnd"/>
      <w:r w:rsidR="007F49D5">
        <w:rPr>
          <w:rFonts w:ascii="Times New Roman" w:hAnsi="Times New Roman" w:cs="Times New Roman"/>
          <w:sz w:val="28"/>
          <w:szCs w:val="28"/>
        </w:rPr>
        <w:t xml:space="preserve"> – 38% (</w:t>
      </w:r>
      <w:r w:rsidR="007F49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F49D5">
        <w:rPr>
          <w:rFonts w:ascii="Times New Roman" w:hAnsi="Times New Roman" w:cs="Times New Roman"/>
          <w:sz w:val="28"/>
          <w:szCs w:val="28"/>
        </w:rPr>
        <w:t xml:space="preserve">: 19,0-37,0%), </w:t>
      </w:r>
      <w:proofErr w:type="spellStart"/>
      <w:r w:rsidR="007F49D5" w:rsidRPr="007F49D5">
        <w:rPr>
          <w:rFonts w:ascii="Times New Roman" w:hAnsi="Times New Roman" w:cs="Times New Roman"/>
          <w:sz w:val="28"/>
          <w:szCs w:val="28"/>
        </w:rPr>
        <w:t>Monozyten</w:t>
      </w:r>
      <w:proofErr w:type="spellEnd"/>
      <w:r w:rsidR="007F49D5">
        <w:rPr>
          <w:rFonts w:ascii="Times New Roman" w:hAnsi="Times New Roman" w:cs="Times New Roman"/>
          <w:sz w:val="28"/>
          <w:szCs w:val="28"/>
        </w:rPr>
        <w:t xml:space="preserve"> – 10% (</w:t>
      </w:r>
      <w:r w:rsidR="007F49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F49D5">
        <w:rPr>
          <w:rFonts w:ascii="Times New Roman" w:hAnsi="Times New Roman" w:cs="Times New Roman"/>
          <w:sz w:val="28"/>
          <w:szCs w:val="28"/>
        </w:rPr>
        <w:t xml:space="preserve">: 3,0-11,0%), </w:t>
      </w:r>
      <w:r w:rsidR="007F49D5" w:rsidRPr="007F49D5">
        <w:rPr>
          <w:rFonts w:ascii="Times New Roman" w:hAnsi="Times New Roman" w:cs="Times New Roman"/>
          <w:sz w:val="28"/>
          <w:szCs w:val="28"/>
        </w:rPr>
        <w:t xml:space="preserve">ESR - 7 </w:t>
      </w:r>
      <w:proofErr w:type="spellStart"/>
      <w:r w:rsidR="007F49D5" w:rsidRPr="007F49D5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="007F49D5" w:rsidRPr="007F49D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7F49D5" w:rsidRPr="007F49D5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7F49D5">
        <w:rPr>
          <w:rFonts w:ascii="Times New Roman" w:hAnsi="Times New Roman" w:cs="Times New Roman"/>
          <w:sz w:val="28"/>
          <w:szCs w:val="28"/>
        </w:rPr>
        <w:t xml:space="preserve"> (</w:t>
      </w:r>
      <w:r w:rsidR="007F49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F49D5">
        <w:rPr>
          <w:rFonts w:ascii="Times New Roman" w:hAnsi="Times New Roman" w:cs="Times New Roman"/>
          <w:sz w:val="28"/>
          <w:szCs w:val="28"/>
        </w:rPr>
        <w:t xml:space="preserve">: 2,0-10,0 </w:t>
      </w:r>
      <w:r w:rsidR="007F49D5" w:rsidRPr="007F4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9D5" w:rsidRPr="007F49D5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="007F49D5" w:rsidRPr="007F49D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7F49D5" w:rsidRPr="007F49D5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7F49D5">
        <w:rPr>
          <w:rFonts w:ascii="Times New Roman" w:hAnsi="Times New Roman" w:cs="Times New Roman"/>
          <w:sz w:val="28"/>
          <w:szCs w:val="28"/>
        </w:rPr>
        <w:t>).</w:t>
      </w:r>
    </w:p>
    <w:p w:rsidR="007F49D5" w:rsidRDefault="007F49D5" w:rsidP="0034792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F49D5">
        <w:rPr>
          <w:rFonts w:ascii="Times New Roman" w:hAnsi="Times New Roman" w:cs="Times New Roman"/>
          <w:b/>
          <w:sz w:val="28"/>
          <w:szCs w:val="28"/>
        </w:rPr>
        <w:t>Biochemischer</w:t>
      </w:r>
      <w:proofErr w:type="spellEnd"/>
      <w:r w:rsidRPr="007F49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9D5">
        <w:rPr>
          <w:rFonts w:ascii="Times New Roman" w:hAnsi="Times New Roman" w:cs="Times New Roman"/>
          <w:b/>
          <w:sz w:val="28"/>
          <w:szCs w:val="28"/>
        </w:rPr>
        <w:t>Bluttest</w:t>
      </w:r>
      <w:proofErr w:type="spellEnd"/>
      <w:r w:rsidRPr="007F49D5">
        <w:rPr>
          <w:rFonts w:ascii="Times New Roman" w:hAnsi="Times New Roman" w:cs="Times New Roman"/>
          <w:sz w:val="28"/>
          <w:szCs w:val="28"/>
        </w:rPr>
        <w:t xml:space="preserve"> (24.07.19): </w:t>
      </w:r>
      <w:proofErr w:type="spellStart"/>
      <w:proofErr w:type="gramStart"/>
      <w:r w:rsidRPr="007F49D5">
        <w:rPr>
          <w:rFonts w:ascii="Times New Roman" w:hAnsi="Times New Roman" w:cs="Times New Roman"/>
          <w:sz w:val="28"/>
          <w:szCs w:val="28"/>
        </w:rPr>
        <w:t>Alaninaminotransferase</w:t>
      </w:r>
      <w:proofErr w:type="spellEnd"/>
      <w:r w:rsidRPr="007F49D5">
        <w:rPr>
          <w:rFonts w:ascii="Times New Roman" w:hAnsi="Times New Roman" w:cs="Times New Roman"/>
          <w:sz w:val="28"/>
          <w:szCs w:val="28"/>
        </w:rPr>
        <w:t xml:space="preserve"> - 38 U / </w:t>
      </w:r>
      <w:proofErr w:type="spellStart"/>
      <w:r w:rsidRPr="007F49D5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7F49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: 0-40</w:t>
      </w:r>
      <w:r w:rsidRPr="007F49D5">
        <w:rPr>
          <w:rFonts w:ascii="Times New Roman" w:hAnsi="Times New Roman" w:cs="Times New Roman"/>
          <w:sz w:val="28"/>
          <w:szCs w:val="28"/>
        </w:rPr>
        <w:t xml:space="preserve"> U / </w:t>
      </w:r>
      <w:proofErr w:type="spellStart"/>
      <w:r w:rsidRPr="007F49D5">
        <w:rPr>
          <w:rFonts w:ascii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F49D5">
        <w:rPr>
          <w:rFonts w:ascii="Times New Roman" w:hAnsi="Times New Roman" w:cs="Times New Roman"/>
          <w:sz w:val="28"/>
          <w:szCs w:val="28"/>
        </w:rPr>
        <w:t>Aspartataminotransferase</w:t>
      </w:r>
      <w:proofErr w:type="spellEnd"/>
      <w:r w:rsidRPr="007F49D5">
        <w:rPr>
          <w:rFonts w:ascii="Times New Roman" w:hAnsi="Times New Roman" w:cs="Times New Roman"/>
          <w:sz w:val="28"/>
          <w:szCs w:val="28"/>
        </w:rPr>
        <w:t xml:space="preserve"> - 44 U / </w:t>
      </w:r>
      <w:proofErr w:type="spellStart"/>
      <w:r w:rsidRPr="007F49D5">
        <w:rPr>
          <w:rFonts w:ascii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: 0-40</w:t>
      </w:r>
      <w:r w:rsidRPr="007F49D5">
        <w:rPr>
          <w:rFonts w:ascii="Times New Roman" w:hAnsi="Times New Roman" w:cs="Times New Roman"/>
          <w:sz w:val="28"/>
          <w:szCs w:val="28"/>
        </w:rPr>
        <w:t xml:space="preserve"> U / </w:t>
      </w:r>
      <w:proofErr w:type="spellStart"/>
      <w:r w:rsidRPr="007F49D5">
        <w:rPr>
          <w:rFonts w:ascii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F49D5">
        <w:rPr>
          <w:rFonts w:ascii="Times New Roman" w:hAnsi="Times New Roman" w:cs="Times New Roman"/>
          <w:sz w:val="28"/>
          <w:szCs w:val="28"/>
        </w:rPr>
        <w:t>Bilirubin</w:t>
      </w:r>
      <w:proofErr w:type="spellEnd"/>
      <w:r w:rsidRPr="007F49D5">
        <w:rPr>
          <w:rFonts w:ascii="Times New Roman" w:hAnsi="Times New Roman" w:cs="Times New Roman"/>
          <w:sz w:val="28"/>
          <w:szCs w:val="28"/>
        </w:rPr>
        <w:t xml:space="preserve"> - 9,64 μmol / </w:t>
      </w:r>
      <w:proofErr w:type="spellStart"/>
      <w:r w:rsidRPr="007F49D5">
        <w:rPr>
          <w:rFonts w:ascii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9D5">
        <w:rPr>
          <w:rFonts w:ascii="Times New Roman" w:hAnsi="Times New Roman" w:cs="Times New Roman"/>
          <w:sz w:val="28"/>
          <w:szCs w:val="28"/>
        </w:rPr>
        <w:t>(N: 2,00-17,40</w:t>
      </w:r>
      <w:r w:rsidR="00366608">
        <w:rPr>
          <w:rFonts w:ascii="Times New Roman" w:hAnsi="Times New Roman" w:cs="Times New Roman"/>
          <w:sz w:val="28"/>
          <w:szCs w:val="28"/>
        </w:rPr>
        <w:t xml:space="preserve"> </w:t>
      </w:r>
      <w:r w:rsidR="00366608" w:rsidRPr="007F49D5">
        <w:rPr>
          <w:rFonts w:ascii="Times New Roman" w:hAnsi="Times New Roman" w:cs="Times New Roman"/>
          <w:sz w:val="28"/>
          <w:szCs w:val="28"/>
        </w:rPr>
        <w:t xml:space="preserve">μmol / </w:t>
      </w:r>
      <w:proofErr w:type="spellStart"/>
      <w:r w:rsidR="00366608" w:rsidRPr="007F49D5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Albumin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- 41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>
        <w:rPr>
          <w:rFonts w:ascii="Times New Roman" w:hAnsi="Times New Roman" w:cs="Times New Roman"/>
          <w:sz w:val="28"/>
          <w:szCs w:val="28"/>
        </w:rPr>
        <w:t xml:space="preserve"> (</w:t>
      </w:r>
      <w:r w:rsidR="003666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6608">
        <w:rPr>
          <w:rFonts w:ascii="Times New Roman" w:hAnsi="Times New Roman" w:cs="Times New Roman"/>
          <w:sz w:val="28"/>
          <w:szCs w:val="28"/>
        </w:rPr>
        <w:t xml:space="preserve">: 38-44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- 0,86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>
        <w:rPr>
          <w:rFonts w:ascii="Times New Roman" w:hAnsi="Times New Roman" w:cs="Times New Roman"/>
          <w:sz w:val="28"/>
          <w:szCs w:val="28"/>
        </w:rPr>
        <w:t xml:space="preserve"> </w:t>
      </w:r>
      <w:r w:rsidR="00366608" w:rsidRPr="007F49D5">
        <w:rPr>
          <w:rFonts w:ascii="Times New Roman" w:hAnsi="Times New Roman" w:cs="Times New Roman"/>
          <w:sz w:val="28"/>
          <w:szCs w:val="28"/>
        </w:rPr>
        <w:t>(N:</w:t>
      </w:r>
      <w:r w:rsidR="00366608">
        <w:rPr>
          <w:rFonts w:ascii="Times New Roman" w:hAnsi="Times New Roman" w:cs="Times New Roman"/>
          <w:sz w:val="28"/>
          <w:szCs w:val="28"/>
        </w:rPr>
        <w:t xml:space="preserve"> 0,86-1,70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Gesamtprotein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- 72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, </w:t>
      </w:r>
      <w:r w:rsidR="00366608">
        <w:rPr>
          <w:rFonts w:ascii="Times New Roman" w:hAnsi="Times New Roman" w:cs="Times New Roman"/>
          <w:sz w:val="28"/>
          <w:szCs w:val="28"/>
        </w:rPr>
        <w:t>(</w:t>
      </w:r>
      <w:r w:rsidR="003666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6608">
        <w:rPr>
          <w:rFonts w:ascii="Times New Roman" w:hAnsi="Times New Roman" w:cs="Times New Roman"/>
          <w:sz w:val="28"/>
          <w:szCs w:val="28"/>
        </w:rPr>
        <w:t>: 64-83</w:t>
      </w:r>
      <w:r w:rsidR="00366608">
        <w:rPr>
          <w:rFonts w:ascii="Times New Roman" w:hAnsi="Times New Roman" w:cs="Times New Roman"/>
          <w:sz w:val="28"/>
          <w:szCs w:val="28"/>
          <w:lang w:val="en-US"/>
        </w:rPr>
        <w:t>g/l</w:t>
      </w:r>
      <w:r w:rsidR="003666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Cholesterin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- 5,3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, </w:t>
      </w:r>
      <w:r w:rsidR="00366608">
        <w:rPr>
          <w:rFonts w:ascii="Times New Roman" w:hAnsi="Times New Roman" w:cs="Times New Roman"/>
          <w:sz w:val="28"/>
          <w:szCs w:val="28"/>
        </w:rPr>
        <w:t>(</w:t>
      </w:r>
      <w:r w:rsidR="003666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6608">
        <w:rPr>
          <w:rFonts w:ascii="Times New Roman" w:hAnsi="Times New Roman" w:cs="Times New Roman"/>
          <w:sz w:val="28"/>
          <w:szCs w:val="28"/>
        </w:rPr>
        <w:t xml:space="preserve">: 3,3-6,2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Harnstoff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- 4,96</w:t>
      </w:r>
      <w:proofErr w:type="gram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6608" w:rsidRPr="00366608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, </w:t>
      </w:r>
      <w:r w:rsidR="00366608">
        <w:rPr>
          <w:rFonts w:ascii="Times New Roman" w:hAnsi="Times New Roman" w:cs="Times New Roman"/>
          <w:sz w:val="28"/>
          <w:szCs w:val="28"/>
        </w:rPr>
        <w:t>(</w:t>
      </w:r>
      <w:r w:rsidR="003666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6608">
        <w:rPr>
          <w:rFonts w:ascii="Times New Roman" w:hAnsi="Times New Roman" w:cs="Times New Roman"/>
          <w:sz w:val="28"/>
          <w:szCs w:val="28"/>
        </w:rPr>
        <w:t xml:space="preserve">: 1,70-8,30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>
        <w:rPr>
          <w:rFonts w:ascii="Times New Roman" w:hAnsi="Times New Roman" w:cs="Times New Roman"/>
          <w:sz w:val="28"/>
          <w:szCs w:val="28"/>
        </w:rPr>
        <w:t xml:space="preserve">), </w:t>
      </w:r>
      <w:r w:rsidR="00366608"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Kreatinin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- 59 μmol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, </w:t>
      </w:r>
      <w:r w:rsidR="00366608">
        <w:rPr>
          <w:rFonts w:ascii="Times New Roman" w:hAnsi="Times New Roman" w:cs="Times New Roman"/>
          <w:sz w:val="28"/>
          <w:szCs w:val="28"/>
        </w:rPr>
        <w:t>(</w:t>
      </w:r>
      <w:r w:rsidR="003666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6608">
        <w:rPr>
          <w:rFonts w:ascii="Times New Roman" w:hAnsi="Times New Roman" w:cs="Times New Roman"/>
          <w:sz w:val="28"/>
          <w:szCs w:val="28"/>
        </w:rPr>
        <w:t>: 62-115</w:t>
      </w:r>
      <w:r w:rsidR="00366608" w:rsidRPr="00366608">
        <w:rPr>
          <w:rFonts w:ascii="Times New Roman" w:hAnsi="Times New Roman" w:cs="Times New Roman"/>
          <w:sz w:val="28"/>
          <w:szCs w:val="28"/>
        </w:rPr>
        <w:t xml:space="preserve"> </w:t>
      </w:r>
      <w:r w:rsidR="00366608">
        <w:rPr>
          <w:rFonts w:ascii="Times New Roman" w:hAnsi="Times New Roman" w:cs="Times New Roman"/>
          <w:sz w:val="28"/>
          <w:szCs w:val="28"/>
        </w:rPr>
        <w:t xml:space="preserve">μmol / </w:t>
      </w:r>
      <w:proofErr w:type="spellStart"/>
      <w:r w:rsid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>
        <w:rPr>
          <w:rFonts w:ascii="Times New Roman" w:hAnsi="Times New Roman" w:cs="Times New Roman"/>
          <w:sz w:val="28"/>
          <w:szCs w:val="28"/>
        </w:rPr>
        <w:t xml:space="preserve">), </w:t>
      </w:r>
      <w:r w:rsidR="00366608"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- 4,8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, </w:t>
      </w:r>
      <w:r w:rsidR="00366608">
        <w:rPr>
          <w:rFonts w:ascii="Times New Roman" w:hAnsi="Times New Roman" w:cs="Times New Roman"/>
          <w:sz w:val="28"/>
          <w:szCs w:val="28"/>
        </w:rPr>
        <w:t>(</w:t>
      </w:r>
      <w:r w:rsidR="003666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6608">
        <w:rPr>
          <w:rFonts w:ascii="Times New Roman" w:hAnsi="Times New Roman" w:cs="Times New Roman"/>
          <w:sz w:val="28"/>
          <w:szCs w:val="28"/>
        </w:rPr>
        <w:t>: 3,6-6,3</w:t>
      </w:r>
      <w:r w:rsidR="00366608"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>
        <w:rPr>
          <w:rFonts w:ascii="Times New Roman" w:hAnsi="Times New Roman" w:cs="Times New Roman"/>
          <w:sz w:val="28"/>
          <w:szCs w:val="28"/>
        </w:rPr>
        <w:t xml:space="preserve">), </w:t>
      </w:r>
      <w:r w:rsidR="00366608"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Gesamt-CPK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 xml:space="preserve"> - 1037 U / </w:t>
      </w:r>
      <w:proofErr w:type="spellStart"/>
      <w:r w:rsidR="00366608"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 w:rsidRPr="00366608">
        <w:rPr>
          <w:rFonts w:ascii="Times New Roman" w:hAnsi="Times New Roman" w:cs="Times New Roman"/>
          <w:sz w:val="28"/>
          <w:szCs w:val="28"/>
        </w:rPr>
        <w:t>.</w:t>
      </w:r>
      <w:r w:rsid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66608">
        <w:rPr>
          <w:rFonts w:ascii="Times New Roman" w:hAnsi="Times New Roman" w:cs="Times New Roman"/>
          <w:sz w:val="28"/>
          <w:szCs w:val="28"/>
        </w:rPr>
        <w:t>(</w:t>
      </w:r>
      <w:r w:rsidR="003666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6608">
        <w:rPr>
          <w:rFonts w:ascii="Times New Roman" w:hAnsi="Times New Roman" w:cs="Times New Roman"/>
          <w:sz w:val="28"/>
          <w:szCs w:val="28"/>
        </w:rPr>
        <w:t>: 0-195</w:t>
      </w:r>
      <w:r w:rsidR="00366608" w:rsidRPr="00366608">
        <w:rPr>
          <w:rFonts w:ascii="Times New Roman" w:hAnsi="Times New Roman" w:cs="Times New Roman"/>
          <w:sz w:val="28"/>
          <w:szCs w:val="28"/>
        </w:rPr>
        <w:t xml:space="preserve"> </w:t>
      </w:r>
      <w:r w:rsidR="00366608">
        <w:rPr>
          <w:rFonts w:ascii="Times New Roman" w:hAnsi="Times New Roman" w:cs="Times New Roman"/>
          <w:sz w:val="28"/>
          <w:szCs w:val="28"/>
        </w:rPr>
        <w:t xml:space="preserve">U / </w:t>
      </w:r>
      <w:proofErr w:type="spellStart"/>
      <w:r w:rsid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66608">
        <w:rPr>
          <w:rFonts w:ascii="Times New Roman" w:hAnsi="Times New Roman" w:cs="Times New Roman"/>
          <w:sz w:val="28"/>
          <w:szCs w:val="28"/>
        </w:rPr>
        <w:t>)</w:t>
      </w:r>
    </w:p>
    <w:p w:rsidR="00366608" w:rsidRPr="00366608" w:rsidRDefault="00366608" w:rsidP="0036660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66608">
        <w:rPr>
          <w:rFonts w:ascii="Times New Roman" w:hAnsi="Times New Roman" w:cs="Times New Roman"/>
          <w:b/>
          <w:sz w:val="28"/>
          <w:szCs w:val="28"/>
        </w:rPr>
        <w:t>Allgemeine</w:t>
      </w:r>
      <w:proofErr w:type="spellEnd"/>
      <w:r w:rsidRPr="003666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b/>
          <w:sz w:val="28"/>
          <w:szCs w:val="28"/>
        </w:rPr>
        <w:t>Urinanalyse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: (24.07.19):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spezifisches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Gewicht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- 1023,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Farbe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gelb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Transparenz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unvollständig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Reaktion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sauer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abs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abs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Ketonkörper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abs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flaches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Epithel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wenige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Leukozyten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- 10 -15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Sichtfeld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einzelne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Messung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eines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Erythrozyten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Präparation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>.</w:t>
      </w:r>
    </w:p>
    <w:p w:rsidR="00366608" w:rsidRDefault="00366608" w:rsidP="0036660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66608">
        <w:rPr>
          <w:rFonts w:ascii="Times New Roman" w:hAnsi="Times New Roman" w:cs="Times New Roman"/>
          <w:b/>
          <w:sz w:val="28"/>
          <w:szCs w:val="28"/>
        </w:rPr>
        <w:t>Allgemeine</w:t>
      </w:r>
      <w:proofErr w:type="spellEnd"/>
      <w:r w:rsidRPr="003666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b/>
          <w:sz w:val="28"/>
          <w:szCs w:val="28"/>
        </w:rPr>
        <w:t>Urinanalyse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: (01.08.19):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spezifisches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Gewicht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Farbe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hellgelb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Transparenz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vollständig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reaktionsneutral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abs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abs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Ketonkörper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abs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flaches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Epithel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wenige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Leukozyten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- 10 -15 -20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Sichtfeld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6608" w:rsidRDefault="00366608" w:rsidP="0036660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Allgemeine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Analyse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Liquor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cerebrospinalis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(24.07.19):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Menge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- 1,8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Farbe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Zentrifugation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farblos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Farbe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Zentrifugation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farblos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Transparenz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Zentrifugation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vollständig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Transparenz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Zentrifugation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vollständig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Zytose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3/3,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- 0,262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Lymphozyten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Klasse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Neutrophile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08">
        <w:rPr>
          <w:rFonts w:ascii="Times New Roman" w:hAnsi="Times New Roman" w:cs="Times New Roman"/>
          <w:sz w:val="28"/>
          <w:szCs w:val="28"/>
        </w:rPr>
        <w:t>Klasse</w:t>
      </w:r>
      <w:proofErr w:type="spellEnd"/>
      <w:r w:rsidRPr="0036660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13657" w:rsidRDefault="00113657" w:rsidP="0036660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Biochemische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Analyse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Liquor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cerebrospinalis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(24.07.19):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- 2,2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: 2,2-3,6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l</w:t>
      </w:r>
      <w:proofErr w:type="spellEnd"/>
      <w:proofErr w:type="gramStart"/>
      <w:r w:rsidRPr="0011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Gesamtprotein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- 0,262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: 0,150-0,450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13657" w:rsidRDefault="00113657" w:rsidP="0036660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lastRenderedPageBreak/>
        <w:t>Analyse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Liquor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cerebrospinalis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auf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Antikörper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gegen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T. </w:t>
      </w:r>
      <w:proofErr w:type="gramStart"/>
      <w:r w:rsidRPr="00113657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allidium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lgM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lgG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Borellia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spp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>. (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lgM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13657">
        <w:rPr>
          <w:rFonts w:ascii="Times New Roman" w:hAnsi="Times New Roman" w:cs="Times New Roman"/>
          <w:b/>
          <w:sz w:val="28"/>
          <w:szCs w:val="28"/>
        </w:rPr>
        <w:t>lgG</w:t>
      </w:r>
      <w:proofErr w:type="spellEnd"/>
      <w:r w:rsidRPr="00113657">
        <w:rPr>
          <w:rFonts w:ascii="Times New Roman" w:hAnsi="Times New Roman" w:cs="Times New Roman"/>
          <w:b/>
          <w:sz w:val="28"/>
          <w:szCs w:val="28"/>
        </w:rPr>
        <w:t>)</w:t>
      </w:r>
      <w:r w:rsidRPr="0011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24.07.19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negativ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3657" w:rsidRDefault="00113657" w:rsidP="0036660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Säure-Base-Zustand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und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Gaszusammensetzung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des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Blutes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657">
        <w:rPr>
          <w:rFonts w:ascii="Times New Roman" w:hAnsi="Times New Roman" w:cs="Times New Roman"/>
          <w:sz w:val="28"/>
          <w:szCs w:val="28"/>
        </w:rPr>
        <w:t>(24.07.19): VC (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sitzend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) - 4,4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- 74,6%,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Angemessene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Lungenkräfte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- 7,371, </w:t>
      </w:r>
      <w:r w:rsidR="00F57D9B">
        <w:rPr>
          <w:rFonts w:ascii="Times New Roman" w:hAnsi="Times New Roman" w:cs="Times New Roman"/>
          <w:sz w:val="28"/>
          <w:szCs w:val="28"/>
        </w:rPr>
        <w:t xml:space="preserve">pCO2 - 42,3 </w:t>
      </w:r>
      <w:proofErr w:type="spellStart"/>
      <w:r w:rsidR="00F57D9B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D9B">
        <w:rPr>
          <w:rFonts w:ascii="Times New Roman" w:hAnsi="Times New Roman" w:cs="Times New Roman"/>
          <w:sz w:val="28"/>
          <w:szCs w:val="28"/>
        </w:rPr>
        <w:t>Hg</w:t>
      </w:r>
      <w:proofErr w:type="spellEnd"/>
      <w:r w:rsidR="00F57D9B">
        <w:rPr>
          <w:rFonts w:ascii="Times New Roman" w:hAnsi="Times New Roman" w:cs="Times New Roman"/>
          <w:sz w:val="28"/>
          <w:szCs w:val="28"/>
        </w:rPr>
        <w:t xml:space="preserve">, pO2 - 72,8 </w:t>
      </w:r>
      <w:proofErr w:type="spellStart"/>
      <w:r w:rsidR="00F57D9B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D9B">
        <w:rPr>
          <w:rFonts w:ascii="Times New Roman" w:hAnsi="Times New Roman" w:cs="Times New Roman"/>
          <w:sz w:val="28"/>
          <w:szCs w:val="28"/>
        </w:rPr>
        <w:t>Hg</w:t>
      </w:r>
      <w:proofErr w:type="spellEnd"/>
      <w:r w:rsidR="00F57D9B">
        <w:rPr>
          <w:rFonts w:ascii="Times New Roman" w:hAnsi="Times New Roman" w:cs="Times New Roman"/>
          <w:sz w:val="28"/>
          <w:szCs w:val="28"/>
        </w:rPr>
        <w:t>. HCO</w:t>
      </w:r>
      <w:r w:rsidRPr="00113657">
        <w:rPr>
          <w:rFonts w:ascii="Times New Roman" w:hAnsi="Times New Roman" w:cs="Times New Roman"/>
          <w:sz w:val="28"/>
          <w:szCs w:val="28"/>
        </w:rPr>
        <w:t xml:space="preserve">3 (AB) - 23,9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mmo</w:t>
      </w:r>
      <w:r w:rsidR="00F57D9B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F57D9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F57D9B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F57D9B">
        <w:rPr>
          <w:rFonts w:ascii="Times New Roman" w:hAnsi="Times New Roman" w:cs="Times New Roman"/>
          <w:sz w:val="28"/>
          <w:szCs w:val="28"/>
        </w:rPr>
        <w:t xml:space="preserve">, BE - (-0,9) </w:t>
      </w:r>
      <w:proofErr w:type="spellStart"/>
      <w:r w:rsidR="00F57D9B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F57D9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F57D9B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F57D9B">
        <w:rPr>
          <w:rFonts w:ascii="Times New Roman" w:hAnsi="Times New Roman" w:cs="Times New Roman"/>
          <w:sz w:val="28"/>
          <w:szCs w:val="28"/>
        </w:rPr>
        <w:t>, sO</w:t>
      </w:r>
      <w:r w:rsidRPr="00113657">
        <w:rPr>
          <w:rFonts w:ascii="Times New Roman" w:hAnsi="Times New Roman" w:cs="Times New Roman"/>
          <w:sz w:val="28"/>
          <w:szCs w:val="28"/>
        </w:rPr>
        <w:t xml:space="preserve">2 - 95,5%, </w:t>
      </w:r>
      <w:proofErr w:type="spellStart"/>
      <w:r w:rsidRPr="00113657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113657">
        <w:rPr>
          <w:rFonts w:ascii="Times New Roman" w:hAnsi="Times New Roman" w:cs="Times New Roman"/>
          <w:sz w:val="28"/>
          <w:szCs w:val="28"/>
        </w:rPr>
        <w:t xml:space="preserve"> - 51,9%</w:t>
      </w:r>
      <w:r w:rsidR="00F57D9B">
        <w:rPr>
          <w:rFonts w:ascii="Times New Roman" w:hAnsi="Times New Roman" w:cs="Times New Roman"/>
          <w:sz w:val="28"/>
          <w:szCs w:val="28"/>
        </w:rPr>
        <w:t>.</w:t>
      </w:r>
    </w:p>
    <w:p w:rsidR="00F57D9B" w:rsidRDefault="00F57D9B" w:rsidP="0036660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F57D9B">
        <w:rPr>
          <w:rFonts w:ascii="Times New Roman" w:hAnsi="Times New Roman" w:cs="Times New Roman"/>
          <w:b/>
          <w:sz w:val="28"/>
          <w:szCs w:val="28"/>
        </w:rPr>
        <w:t>EKG (24.07.2019)</w:t>
      </w:r>
      <w:r w:rsidRPr="00F57D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Sinusrhythmus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Herzfrequenz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61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Schläge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elektrische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Achse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Herzens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unvollständige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Blockade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rechten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Beins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>.</w:t>
      </w:r>
    </w:p>
    <w:p w:rsidR="00F57D9B" w:rsidRDefault="00F57D9B" w:rsidP="0036660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Stimulation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und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Nadel-EMG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(25.07.19):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EMG-Untersuchung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Nadelelektrode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ergab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Anzeichen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aktuellen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Denervierungsprozesses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Hintergrund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neurogener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Veränderungen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Muskeln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zervikalen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C1-C8-,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lumbalen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L4-L5-Segmente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Rückenmarks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innerviert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wurden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Faszikulationspotentiale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Trapezmuskel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aufgezeichnet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Untersuchung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peripherer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Nerven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ergab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Anzeichen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überwiegend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axonalen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Läsionen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nur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motorischer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Fasern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wurden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keine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Leitungsblöcke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gefunden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Analyse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Ergebnisse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EMG-Studien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deutet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allgemeine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Schädigung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Motoneuronen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Rückenmarks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hin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>.</w:t>
      </w:r>
    </w:p>
    <w:p w:rsidR="00F57D9B" w:rsidRPr="00F57D9B" w:rsidRDefault="00F57D9B" w:rsidP="00F57D9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Ultraschall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Bauchorgane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(30.07.19):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Ultraschallzeichen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geringfügiger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diffuser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Veränderungen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Bauchspeicheldrüse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Ultraschallbild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Anomalien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Gallenblase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>.</w:t>
      </w:r>
    </w:p>
    <w:p w:rsidR="00F57D9B" w:rsidRDefault="00F57D9B" w:rsidP="00F57D9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Physiotherapeutische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Beratung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(24.07.19):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Laufbandtrainer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Fahrradergometer-Trainer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empfohlen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>.</w:t>
      </w:r>
    </w:p>
    <w:p w:rsidR="00F57D9B" w:rsidRPr="00F57D9B" w:rsidRDefault="00F57D9B" w:rsidP="00F57D9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Durchgeführte</w:t>
      </w:r>
      <w:proofErr w:type="spellEnd"/>
      <w:r w:rsidRPr="00F57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b/>
          <w:sz w:val="28"/>
          <w:szCs w:val="28"/>
        </w:rPr>
        <w:t>Behandlung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intravenöser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Tropfen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- 10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Mildronat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250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Kochsalzlösung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. 6,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Cytoflavin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250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intravenöser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Kochsalzlösung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. 4;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Physiotherapie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Trainingsgerät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Laufband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Trainingsgerät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Fahrradergometer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>.</w:t>
      </w:r>
    </w:p>
    <w:p w:rsidR="00F57D9B" w:rsidRPr="00F57D9B" w:rsidRDefault="00F57D9B" w:rsidP="00F57D9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57D9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Hintergrund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Therapie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positiven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Trend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Abnahme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Faszikulationen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leichten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Zunahme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Muskelkraft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Gliedmaßen.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Patient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wird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Aufsicht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eines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Therapeuten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Neurologen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Wohnort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zufriedenstellendem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Zustand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entlassen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>.</w:t>
      </w:r>
    </w:p>
    <w:p w:rsidR="00F57D9B" w:rsidRPr="00F57D9B" w:rsidRDefault="00F57D9B" w:rsidP="00F57D9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57D9B">
        <w:rPr>
          <w:rFonts w:ascii="Times New Roman" w:hAnsi="Times New Roman" w:cs="Times New Roman"/>
          <w:sz w:val="28"/>
          <w:szCs w:val="28"/>
        </w:rPr>
        <w:t>Strahlungslast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- 0 m3v.</w:t>
      </w:r>
    </w:p>
    <w:p w:rsidR="00F57D9B" w:rsidRDefault="00F57D9B" w:rsidP="00F57D9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57D9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Krankenstand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wurde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9B">
        <w:rPr>
          <w:rFonts w:ascii="Times New Roman" w:hAnsi="Times New Roman" w:cs="Times New Roman"/>
          <w:sz w:val="28"/>
          <w:szCs w:val="28"/>
        </w:rPr>
        <w:t>ausgestellt</w:t>
      </w:r>
      <w:proofErr w:type="spellEnd"/>
      <w:r w:rsidRPr="00F57D9B">
        <w:rPr>
          <w:rFonts w:ascii="Times New Roman" w:hAnsi="Times New Roman" w:cs="Times New Roman"/>
          <w:sz w:val="28"/>
          <w:szCs w:val="28"/>
        </w:rPr>
        <w:t>.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42B5F">
        <w:rPr>
          <w:rFonts w:ascii="Times New Roman" w:hAnsi="Times New Roman" w:cs="Times New Roman"/>
          <w:sz w:val="28"/>
          <w:szCs w:val="28"/>
        </w:rPr>
        <w:t>Empfehlungen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: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642B5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Beobachtung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eines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Neurologen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Therapeuten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Wohnort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.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642B5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Levocarnitin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Beispiel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Elcar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) 0,5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Ampulle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intramuskulär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Mal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. 15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jeden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zweiten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.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642B5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Vitamin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E 400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Tablette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Mal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Monate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.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642B5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Meldonium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Tablette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Monate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.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642B5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Bewegungstherapie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Massage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Physiotherapie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, einschließlich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elektrischer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Neurostimulation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unterhalb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Schwelle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passive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Gymnastik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Atemübungen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.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642B5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proteinreiche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Diät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.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642B5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Bestimmung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Vitalkapazität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Lunge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Blutgase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Mal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Monaten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.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642B5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proofErr w:type="gramStart"/>
      <w:r w:rsidRPr="00642B5F">
        <w:rPr>
          <w:rFonts w:ascii="Times New Roman" w:hAnsi="Times New Roman" w:cs="Times New Roman"/>
          <w:sz w:val="28"/>
          <w:szCs w:val="28"/>
        </w:rPr>
        <w:t>Blutuntersuchung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Reihe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neuromuskulären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Erkrankungen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B5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Genomed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einem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anderen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medizinischen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genetischen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Zentrum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642B5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Wiederholte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Konsultation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Monaten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.</w:t>
      </w:r>
    </w:p>
    <w:p w:rsid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42B5F">
        <w:rPr>
          <w:rFonts w:ascii="Times New Roman" w:hAnsi="Times New Roman" w:cs="Times New Roman"/>
          <w:sz w:val="28"/>
          <w:szCs w:val="28"/>
        </w:rPr>
        <w:t>Bei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Bedarf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diese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Medikamente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äquivalenten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Dosen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ähnliche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ersetzt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>.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behandelnde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Arzt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Bembeeva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A.A.</w:t>
      </w:r>
    </w:p>
    <w:p w:rsidR="00642B5F" w:rsidRPr="00642B5F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Neurologe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Kandidat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medizinischen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Wissenschaften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Zakroyshikov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I.V.</w:t>
      </w:r>
    </w:p>
    <w:p w:rsidR="00642B5F" w:rsidRPr="00113657" w:rsidRDefault="00642B5F" w:rsidP="00642B5F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Leiter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sechsten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neurologischen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Abteilung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Doktor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medizinischen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B5F">
        <w:rPr>
          <w:rFonts w:ascii="Times New Roman" w:hAnsi="Times New Roman" w:cs="Times New Roman"/>
          <w:b/>
          <w:sz w:val="28"/>
          <w:szCs w:val="28"/>
        </w:rPr>
        <w:t>Wissenschaften</w:t>
      </w:r>
      <w:proofErr w:type="spellEnd"/>
      <w:r w:rsidRPr="00642B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642B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642B5F">
        <w:rPr>
          <w:rFonts w:ascii="Times New Roman" w:hAnsi="Times New Roman" w:cs="Times New Roman"/>
          <w:sz w:val="28"/>
          <w:szCs w:val="28"/>
        </w:rPr>
        <w:t>Zakharova</w:t>
      </w:r>
      <w:proofErr w:type="spellEnd"/>
      <w:r w:rsidRPr="00642B5F">
        <w:rPr>
          <w:rFonts w:ascii="Times New Roman" w:hAnsi="Times New Roman" w:cs="Times New Roman"/>
          <w:sz w:val="28"/>
          <w:szCs w:val="28"/>
        </w:rPr>
        <w:t xml:space="preserve"> M.N.</w:t>
      </w:r>
    </w:p>
    <w:sectPr w:rsidR="00642B5F" w:rsidRPr="00113657" w:rsidSect="004B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3F"/>
    <w:rsid w:val="000801E9"/>
    <w:rsid w:val="00113657"/>
    <w:rsid w:val="0034792F"/>
    <w:rsid w:val="00366608"/>
    <w:rsid w:val="00443490"/>
    <w:rsid w:val="004B2F7C"/>
    <w:rsid w:val="00622738"/>
    <w:rsid w:val="00642B5F"/>
    <w:rsid w:val="006564CA"/>
    <w:rsid w:val="007F49D5"/>
    <w:rsid w:val="00E4743F"/>
    <w:rsid w:val="00EB3F03"/>
    <w:rsid w:val="00F5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4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urology.ru" TargetMode="External"/><Relationship Id="rId4" Type="http://schemas.openxmlformats.org/officeDocument/2006/relationships/hyperlink" Target="mailto:in-6n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2020-07-30T16:02:00Z</dcterms:created>
  <dcterms:modified xsi:type="dcterms:W3CDTF">2020-07-31T06:24:00Z</dcterms:modified>
</cp:coreProperties>
</file>