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line="240" w:lineRule="auto"/>
        <w:ind w:left="0" w:right="0" w:firstLine="0"/>
        <w:jc w:val="center"/>
      </w:pPr>
      <w:r>
        <w:rPr>
          <w:color w:val="000000"/>
          <w:spacing w:val="0"/>
          <w:w w:val="100"/>
          <w:position w:val="0"/>
        </w:rPr>
        <w:t>PISA 2021 MATHEMATICS</w:t>
        <w:br/>
        <w:t>FRAMEWORK (DRAFT)</w:t>
      </w:r>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rPr>
        <w:t>November 2018</w:t>
      </w:r>
    </w:p>
    <w:p>
      <w:pPr>
        <w:pStyle w:val="Style12"/>
        <w:keepNext w:val="0"/>
        <w:keepLines w:val="0"/>
        <w:widowControl w:val="0"/>
        <w:shd w:val="clear" w:color="auto" w:fill="auto"/>
        <w:bidi w:val="0"/>
        <w:spacing w:before="0" w:after="0" w:line="240" w:lineRule="auto"/>
        <w:ind w:left="0" w:right="0" w:firstLine="0"/>
        <w:jc w:val="center"/>
      </w:pPr>
      <w:r>
        <w:rPr>
          <w:spacing w:val="0"/>
          <w:w w:val="100"/>
          <w:position w:val="0"/>
        </w:rPr>
        <w:t>®/)OECD</w:t>
      </w:r>
    </w:p>
    <w:p>
      <w:pPr>
        <w:pStyle w:val="Style14"/>
        <w:keepNext/>
        <w:keepLines/>
        <w:widowControl w:val="0"/>
        <w:shd w:val="clear" w:color="auto" w:fill="auto"/>
        <w:bidi w:val="0"/>
        <w:spacing w:before="0" w:after="580" w:line="240" w:lineRule="auto"/>
        <w:ind w:left="0" w:right="0" w:firstLine="0"/>
        <w:jc w:val="center"/>
      </w:pPr>
      <w:bookmarkStart w:id="0" w:name="bookmark0"/>
      <w:bookmarkStart w:id="1" w:name="bookmark1"/>
      <w:bookmarkStart w:id="2" w:name="bookmark2"/>
      <w:r>
        <w:rPr>
          <w:spacing w:val="0"/>
          <w:w w:val="100"/>
          <w:position w:val="0"/>
        </w:rPr>
        <w:t>Table of contents</w:t>
      </w:r>
      <w:bookmarkEnd w:id="0"/>
      <w:bookmarkEnd w:id="1"/>
      <w:bookmarkEnd w:id="2"/>
    </w:p>
    <w:p>
      <w:pPr>
        <w:pStyle w:val="Style20"/>
        <w:keepNext w:val="0"/>
        <w:keepLines w:val="0"/>
        <w:widowControl w:val="0"/>
        <w:shd w:val="clear" w:color="auto" w:fill="auto"/>
        <w:tabs>
          <w:tab w:leader="dot" w:pos="8519" w:val="right"/>
        </w:tabs>
        <w:bidi w:val="0"/>
        <w:spacing w:before="0" w:after="100" w:line="264" w:lineRule="auto"/>
        <w:ind w:left="0" w:right="0" w:firstLine="0"/>
        <w:jc w:val="both"/>
        <w:rPr>
          <w:sz w:val="19"/>
          <w:szCs w:val="19"/>
        </w:rPr>
      </w:pPr>
      <w:r>
        <w:fldChar w:fldCharType="begin"/>
        <w:instrText xml:space="preserve"> TOC \o "1-5" \h \z </w:instrText>
        <w:fldChar w:fldCharType="separate"/>
      </w:r>
      <w:hyperlink w:anchor="bookmark4" w:tooltip="Current Document">
        <w:r>
          <w:rPr>
            <w:b/>
            <w:bCs/>
            <w:color w:val="000000"/>
            <w:spacing w:val="0"/>
            <w:w w:val="100"/>
            <w:position w:val="0"/>
            <w:sz w:val="19"/>
            <w:szCs w:val="19"/>
          </w:rPr>
          <w:t>Introduction</w:t>
          <w:tab/>
          <w:t>3</w:t>
        </w:r>
      </w:hyperlink>
    </w:p>
    <w:p>
      <w:pPr>
        <w:pStyle w:val="Style20"/>
        <w:keepNext w:val="0"/>
        <w:keepLines w:val="0"/>
        <w:widowControl w:val="0"/>
        <w:shd w:val="clear" w:color="auto" w:fill="auto"/>
        <w:tabs>
          <w:tab w:leader="dot" w:pos="8519" w:val="right"/>
        </w:tabs>
        <w:bidi w:val="0"/>
        <w:spacing w:before="0" w:after="100" w:line="264" w:lineRule="auto"/>
        <w:ind w:left="0" w:right="0" w:firstLine="0"/>
        <w:jc w:val="both"/>
        <w:rPr>
          <w:sz w:val="19"/>
          <w:szCs w:val="19"/>
        </w:rPr>
      </w:pPr>
      <w:r>
        <w:rPr>
          <w:b/>
          <w:bCs/>
          <w:color w:val="000000"/>
          <w:spacing w:val="0"/>
          <w:w w:val="100"/>
          <w:position w:val="0"/>
          <w:sz w:val="19"/>
          <w:szCs w:val="19"/>
        </w:rPr>
        <w:t>Definition of Mathematical Literacy</w:t>
        <w:tab/>
        <w:t>6</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A View of Mathematically Literate Individuals in PISA 2021</w:t>
        <w:tab/>
        <w:t>8</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An Explicit Link to a Variety of Contexts for Problems in PISA 2021</w:t>
        <w:tab/>
        <w:t xml:space="preserve"> 12</w:t>
      </w:r>
    </w:p>
    <w:p>
      <w:pPr>
        <w:pStyle w:val="Style20"/>
        <w:keepNext w:val="0"/>
        <w:keepLines w:val="0"/>
        <w:widowControl w:val="0"/>
        <w:shd w:val="clear" w:color="auto" w:fill="auto"/>
        <w:tabs>
          <w:tab w:leader="dot" w:pos="8519" w:val="right"/>
        </w:tabs>
        <w:bidi w:val="0"/>
        <w:spacing w:before="0" w:after="100" w:line="240" w:lineRule="auto"/>
        <w:ind w:left="0" w:right="0" w:firstLine="180"/>
        <w:jc w:val="both"/>
      </w:pPr>
      <w:r>
        <w:rPr>
          <w:color w:val="000000"/>
          <w:spacing w:val="0"/>
          <w:w w:val="100"/>
          <w:position w:val="0"/>
        </w:rPr>
        <w:t>A Visible Role for Mathematical Tools, including Technology in PISA 2021</w:t>
        <w:tab/>
        <w:t>12</w:t>
      </w:r>
    </w:p>
    <w:p>
      <w:pPr>
        <w:pStyle w:val="Style20"/>
        <w:keepNext w:val="0"/>
        <w:keepLines w:val="0"/>
        <w:widowControl w:val="0"/>
        <w:shd w:val="clear" w:color="auto" w:fill="auto"/>
        <w:tabs>
          <w:tab w:leader="dot" w:pos="8519" w:val="right"/>
        </w:tabs>
        <w:bidi w:val="0"/>
        <w:spacing w:before="0" w:after="100" w:line="264" w:lineRule="auto"/>
        <w:ind w:left="0" w:right="0" w:firstLine="0"/>
        <w:jc w:val="both"/>
        <w:rPr>
          <w:sz w:val="19"/>
          <w:szCs w:val="19"/>
        </w:rPr>
      </w:pPr>
      <w:r>
        <w:rPr>
          <w:b/>
          <w:bCs/>
          <w:color w:val="000000"/>
          <w:spacing w:val="0"/>
          <w:w w:val="100"/>
          <w:position w:val="0"/>
          <w:sz w:val="19"/>
          <w:szCs w:val="19"/>
        </w:rPr>
        <w:t>Organisation of the Domain</w:t>
        <w:tab/>
        <w:t>14</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Mathematical Reasoning and Problem Solving Processes</w:t>
        <w:tab/>
        <w:t>14</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Mathematical Content Knowledge</w:t>
        <w:tab/>
        <w:t>22</w:t>
      </w:r>
    </w:p>
    <w:p>
      <w:pPr>
        <w:pStyle w:val="Style20"/>
        <w:keepNext w:val="0"/>
        <w:keepLines w:val="0"/>
        <w:widowControl w:val="0"/>
        <w:shd w:val="clear" w:color="auto" w:fill="auto"/>
        <w:tabs>
          <w:tab w:leader="dot" w:pos="8519" w:val="right"/>
        </w:tabs>
        <w:bidi w:val="0"/>
        <w:spacing w:before="0" w:after="100" w:line="240" w:lineRule="auto"/>
        <w:ind w:left="0" w:right="0" w:firstLine="180"/>
        <w:jc w:val="both"/>
      </w:pPr>
      <w:r>
        <w:rPr>
          <w:color w:val="000000"/>
          <w:spacing w:val="0"/>
          <w:w w:val="100"/>
          <w:position w:val="0"/>
        </w:rPr>
        <w:t>Contexts for the assessment items and selected 21</w:t>
      </w:r>
      <w:r>
        <w:rPr>
          <w:color w:val="000000"/>
          <w:spacing w:val="0"/>
          <w:w w:val="100"/>
          <w:position w:val="0"/>
          <w:vertAlign w:val="superscript"/>
        </w:rPr>
        <w:t>st</w:t>
      </w:r>
      <w:r>
        <w:rPr>
          <w:color w:val="000000"/>
          <w:spacing w:val="0"/>
          <w:w w:val="100"/>
          <w:position w:val="0"/>
        </w:rPr>
        <w:t xml:space="preserve"> century skills</w:t>
        <w:tab/>
        <w:t>28</w:t>
      </w:r>
    </w:p>
    <w:p>
      <w:pPr>
        <w:pStyle w:val="Style20"/>
        <w:keepNext w:val="0"/>
        <w:keepLines w:val="0"/>
        <w:widowControl w:val="0"/>
        <w:shd w:val="clear" w:color="auto" w:fill="auto"/>
        <w:tabs>
          <w:tab w:leader="dot" w:pos="8519" w:val="right"/>
        </w:tabs>
        <w:bidi w:val="0"/>
        <w:spacing w:before="0" w:after="100" w:line="264" w:lineRule="auto"/>
        <w:ind w:left="0" w:right="0" w:firstLine="0"/>
        <w:jc w:val="both"/>
        <w:rPr>
          <w:sz w:val="19"/>
          <w:szCs w:val="19"/>
        </w:rPr>
      </w:pPr>
      <w:r>
        <w:rPr>
          <w:b/>
          <w:bCs/>
          <w:color w:val="000000"/>
          <w:spacing w:val="0"/>
          <w:w w:val="100"/>
          <w:position w:val="0"/>
          <w:sz w:val="19"/>
          <w:szCs w:val="19"/>
        </w:rPr>
        <w:t>Assessing Mathematical Literacy</w:t>
        <w:tab/>
        <w:t>32</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Structure of the PISA 2021 Mathematics Assessment</w:t>
        <w:tab/>
        <w:t>32</w:t>
      </w:r>
    </w:p>
    <w:p>
      <w:pPr>
        <w:pStyle w:val="Style20"/>
        <w:keepNext w:val="0"/>
        <w:keepLines w:val="0"/>
        <w:widowControl w:val="0"/>
        <w:shd w:val="clear" w:color="auto" w:fill="auto"/>
        <w:tabs>
          <w:tab w:leader="dot" w:pos="8258" w:val="left"/>
        </w:tabs>
        <w:bidi w:val="0"/>
        <w:spacing w:before="0" w:after="0" w:line="240" w:lineRule="auto"/>
        <w:ind w:left="0" w:right="0" w:firstLine="180"/>
        <w:jc w:val="both"/>
      </w:pPr>
      <w:r>
        <w:rPr>
          <w:color w:val="000000"/>
          <w:spacing w:val="0"/>
          <w:w w:val="100"/>
          <w:position w:val="0"/>
        </w:rPr>
        <w:t>Desired Distribution of Score Points by Mathematical Reasoning and Problem solving process</w:t>
        <w:tab/>
        <w:t>32</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Desired Distribution of Score Points by Content Category</w:t>
        <w:tab/>
        <w:t>33</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A Range of Item Difficulties</w:t>
        <w:tab/>
        <w:t>33</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Computer-based Assessment of Mathematics</w:t>
        <w:tab/>
        <w:t>36</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Design of the PISA 2021 Mathematics Items</w:t>
        <w:tab/>
        <w:t>38</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Item Scoring</w:t>
        <w:tab/>
        <w:t>39</w:t>
      </w:r>
    </w:p>
    <w:p>
      <w:pPr>
        <w:pStyle w:val="Style20"/>
        <w:keepNext w:val="0"/>
        <w:keepLines w:val="0"/>
        <w:widowControl w:val="0"/>
        <w:shd w:val="clear" w:color="auto" w:fill="auto"/>
        <w:tabs>
          <w:tab w:leader="dot" w:pos="8519" w:val="right"/>
        </w:tabs>
        <w:bidi w:val="0"/>
        <w:spacing w:before="0" w:after="0" w:line="240" w:lineRule="auto"/>
        <w:ind w:left="0" w:right="0" w:firstLine="180"/>
        <w:jc w:val="both"/>
      </w:pPr>
      <w:r>
        <w:rPr>
          <w:color w:val="000000"/>
          <w:spacing w:val="0"/>
          <w:w w:val="100"/>
          <w:position w:val="0"/>
        </w:rPr>
        <w:t>Reporting Proficiency in Mathematics</w:t>
        <w:tab/>
        <w:t>39</w:t>
      </w:r>
    </w:p>
    <w:p>
      <w:pPr>
        <w:pStyle w:val="Style20"/>
        <w:keepNext w:val="0"/>
        <w:keepLines w:val="0"/>
        <w:widowControl w:val="0"/>
        <w:shd w:val="clear" w:color="auto" w:fill="auto"/>
        <w:tabs>
          <w:tab w:leader="dot" w:pos="8519" w:val="right"/>
        </w:tabs>
        <w:bidi w:val="0"/>
        <w:spacing w:before="0" w:after="100" w:line="240" w:lineRule="auto"/>
        <w:ind w:left="0" w:right="0" w:firstLine="180"/>
        <w:jc w:val="both"/>
      </w:pPr>
      <w:r>
        <w:rPr>
          <w:color w:val="000000"/>
          <w:spacing w:val="0"/>
          <w:w w:val="100"/>
          <w:position w:val="0"/>
        </w:rPr>
        <w:t>Mathematical Literacy and the Background Questionnaires</w:t>
        <w:tab/>
        <w:t>40</w:t>
      </w:r>
    </w:p>
    <w:p>
      <w:pPr>
        <w:pStyle w:val="Style20"/>
        <w:keepNext w:val="0"/>
        <w:keepLines w:val="0"/>
        <w:widowControl w:val="0"/>
        <w:shd w:val="clear" w:color="auto" w:fill="auto"/>
        <w:tabs>
          <w:tab w:leader="dot" w:pos="8519" w:val="right"/>
        </w:tabs>
        <w:bidi w:val="0"/>
        <w:spacing w:before="0" w:after="100" w:line="264" w:lineRule="auto"/>
        <w:ind w:left="0" w:right="0" w:firstLine="0"/>
        <w:jc w:val="both"/>
        <w:rPr>
          <w:sz w:val="19"/>
          <w:szCs w:val="19"/>
        </w:rPr>
      </w:pPr>
      <w:r>
        <w:rPr>
          <w:b/>
          <w:bCs/>
          <w:color w:val="000000"/>
          <w:spacing w:val="0"/>
          <w:w w:val="100"/>
          <w:position w:val="0"/>
          <w:sz w:val="19"/>
          <w:szCs w:val="19"/>
        </w:rPr>
        <w:t>Summary</w:t>
        <w:tab/>
        <w:t>43</w:t>
      </w:r>
    </w:p>
    <w:p>
      <w:pPr>
        <w:pStyle w:val="Style20"/>
        <w:keepNext w:val="0"/>
        <w:keepLines w:val="0"/>
        <w:widowControl w:val="0"/>
        <w:shd w:val="clear" w:color="auto" w:fill="auto"/>
        <w:tabs>
          <w:tab w:leader="dot" w:pos="8519" w:val="right"/>
        </w:tabs>
        <w:bidi w:val="0"/>
        <w:spacing w:before="0" w:after="100" w:line="264" w:lineRule="auto"/>
        <w:ind w:left="0" w:right="0" w:firstLine="0"/>
        <w:jc w:val="both"/>
        <w:rPr>
          <w:sz w:val="19"/>
          <w:szCs w:val="19"/>
        </w:rPr>
      </w:pPr>
      <w:r>
        <w:rPr>
          <w:b/>
          <w:bCs/>
          <w:color w:val="000000"/>
          <w:spacing w:val="0"/>
          <w:w w:val="100"/>
          <w:position w:val="0"/>
          <w:sz w:val="19"/>
          <w:szCs w:val="19"/>
        </w:rPr>
        <w:t>References</w:t>
        <w:tab/>
        <w:t>44</w:t>
      </w:r>
    </w:p>
    <w:p>
      <w:pPr>
        <w:pStyle w:val="Style20"/>
        <w:keepNext w:val="0"/>
        <w:keepLines w:val="0"/>
        <w:widowControl w:val="0"/>
        <w:shd w:val="clear" w:color="auto" w:fill="auto"/>
        <w:tabs>
          <w:tab w:leader="dot" w:pos="8519" w:val="right"/>
        </w:tabs>
        <w:bidi w:val="0"/>
        <w:spacing w:before="0" w:after="360" w:line="264" w:lineRule="auto"/>
        <w:ind w:left="0" w:right="0" w:firstLine="0"/>
        <w:jc w:val="both"/>
        <w:rPr>
          <w:sz w:val="19"/>
          <w:szCs w:val="19"/>
        </w:rPr>
      </w:pPr>
      <w:r>
        <w:rPr>
          <w:b/>
          <w:bCs/>
          <w:color w:val="000000"/>
          <w:spacing w:val="0"/>
          <w:w w:val="100"/>
          <w:position w:val="0"/>
          <w:sz w:val="19"/>
          <w:szCs w:val="19"/>
        </w:rPr>
        <w:t>Annex A. Illustrative examples</w:t>
        <w:tab/>
        <w:t>47</w:t>
      </w:r>
    </w:p>
    <w:p>
      <w:pPr>
        <w:pStyle w:val="Style20"/>
        <w:keepNext w:val="0"/>
        <w:keepLines w:val="0"/>
        <w:widowControl w:val="0"/>
        <w:shd w:val="clear" w:color="auto" w:fill="auto"/>
        <w:bidi w:val="0"/>
        <w:spacing w:before="0" w:after="100" w:line="264" w:lineRule="auto"/>
        <w:ind w:left="0" w:right="0" w:firstLine="0"/>
        <w:jc w:val="center"/>
        <w:rPr>
          <w:sz w:val="19"/>
          <w:szCs w:val="19"/>
        </w:rPr>
      </w:pPr>
      <w:r>
        <w:rPr>
          <w:b/>
          <w:bCs/>
          <w:color w:val="000000"/>
          <w:spacing w:val="0"/>
          <w:w w:val="100"/>
          <w:position w:val="0"/>
          <w:sz w:val="19"/>
          <w:szCs w:val="19"/>
        </w:rPr>
        <w:t>Tables</w:t>
      </w:r>
    </w:p>
    <w:p>
      <w:pPr>
        <w:pStyle w:val="Style20"/>
        <w:keepNext w:val="0"/>
        <w:keepLines w:val="0"/>
        <w:widowControl w:val="0"/>
        <w:shd w:val="clear" w:color="auto" w:fill="auto"/>
        <w:tabs>
          <w:tab w:leader="dot" w:pos="8519" w:val="right"/>
        </w:tabs>
        <w:bidi w:val="0"/>
        <w:spacing w:before="0" w:after="0" w:line="240" w:lineRule="auto"/>
        <w:ind w:left="0" w:right="0" w:firstLine="0"/>
        <w:jc w:val="both"/>
      </w:pPr>
      <w:r>
        <w:rPr>
          <w:color w:val="000000"/>
          <w:spacing w:val="0"/>
          <w:w w:val="100"/>
          <w:position w:val="0"/>
        </w:rPr>
        <w:t>Table 1. Approximate distribution of score points by domain for PISA 2021</w:t>
        <w:tab/>
        <w:t>33</w:t>
      </w:r>
    </w:p>
    <w:p>
      <w:pPr>
        <w:pStyle w:val="Style20"/>
        <w:keepNext w:val="0"/>
        <w:keepLines w:val="0"/>
        <w:widowControl w:val="0"/>
        <w:shd w:val="clear" w:color="auto" w:fill="auto"/>
        <w:tabs>
          <w:tab w:leader="dot" w:pos="8519" w:val="right"/>
        </w:tabs>
        <w:bidi w:val="0"/>
        <w:spacing w:before="0" w:after="0" w:line="240" w:lineRule="auto"/>
        <w:ind w:left="0" w:right="0" w:firstLine="0"/>
        <w:jc w:val="both"/>
      </w:pPr>
      <w:r>
        <w:rPr>
          <w:color w:val="000000"/>
          <w:spacing w:val="0"/>
          <w:w w:val="100"/>
          <w:position w:val="0"/>
        </w:rPr>
        <w:t>Table 2. Approximate distribution of score points by content category for PISA 2021</w:t>
        <w:tab/>
        <w:t>33</w:t>
      </w:r>
    </w:p>
    <w:p>
      <w:pPr>
        <w:pStyle w:val="Style20"/>
        <w:keepNext w:val="0"/>
        <w:keepLines w:val="0"/>
        <w:widowControl w:val="0"/>
        <w:shd w:val="clear" w:color="auto" w:fill="auto"/>
        <w:tabs>
          <w:tab w:leader="dot" w:pos="8143" w:val="right"/>
        </w:tabs>
        <w:bidi w:val="0"/>
        <w:spacing w:before="0" w:after="500" w:line="240" w:lineRule="auto"/>
        <w:ind w:left="420" w:right="0" w:hanging="420"/>
        <w:jc w:val="left"/>
      </w:pPr>
      <w:r>
        <w:rPr>
          <w:color w:val="000000"/>
          <w:spacing w:val="0"/>
          <w:w w:val="100"/>
          <w:position w:val="0"/>
        </w:rPr>
        <w:t>Table 3. Expected student actions for mathematical reasoning and each of the problem solving processes</w:t>
        <w:tab/>
        <w:t>35</w:t>
      </w:r>
    </w:p>
    <w:p>
      <w:pPr>
        <w:pStyle w:val="Style20"/>
        <w:keepNext w:val="0"/>
        <w:keepLines w:val="0"/>
        <w:widowControl w:val="0"/>
        <w:shd w:val="clear" w:color="auto" w:fill="auto"/>
        <w:bidi w:val="0"/>
        <w:spacing w:before="0" w:after="100" w:line="264" w:lineRule="auto"/>
        <w:ind w:left="0" w:right="0" w:firstLine="0"/>
        <w:jc w:val="center"/>
        <w:rPr>
          <w:sz w:val="19"/>
          <w:szCs w:val="19"/>
        </w:rPr>
      </w:pPr>
      <w:r>
        <w:rPr>
          <w:b/>
          <w:bCs/>
          <w:color w:val="000000"/>
          <w:spacing w:val="0"/>
          <w:w w:val="100"/>
          <w:position w:val="0"/>
          <w:sz w:val="19"/>
          <w:szCs w:val="19"/>
        </w:rPr>
        <w:t>Figures</w:t>
      </w:r>
    </w:p>
    <w:p>
      <w:pPr>
        <w:pStyle w:val="Style20"/>
        <w:keepNext w:val="0"/>
        <w:keepLines w:val="0"/>
        <w:widowControl w:val="0"/>
        <w:shd w:val="clear" w:color="auto" w:fill="auto"/>
        <w:tabs>
          <w:tab w:leader="dot" w:pos="8143" w:val="right"/>
        </w:tabs>
        <w:bidi w:val="0"/>
        <w:spacing w:before="0" w:after="0" w:line="240" w:lineRule="auto"/>
        <w:ind w:left="420" w:right="0" w:hanging="420"/>
        <w:jc w:val="both"/>
      </w:pPr>
      <w:r>
        <w:rPr>
          <w:color w:val="000000"/>
          <w:spacing w:val="0"/>
          <w:w w:val="100"/>
          <w:position w:val="0"/>
        </w:rPr>
        <w:t>Figure 1. Mathematical literacy: the relationship between mathematical reasoning and the problem solving (modelling) cycle</w:t>
        <w:tab/>
        <w:t>8</w:t>
      </w:r>
    </w:p>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rPr>
        <w:t>Figure 2. PISA 2021: the relationship between mathematical reasoning, the problem solving</w:t>
      </w:r>
    </w:p>
    <w:p>
      <w:pPr>
        <w:pStyle w:val="Style20"/>
        <w:keepNext w:val="0"/>
        <w:keepLines w:val="0"/>
        <w:widowControl w:val="0"/>
        <w:shd w:val="clear" w:color="auto" w:fill="auto"/>
        <w:tabs>
          <w:tab w:leader="dot" w:pos="8519" w:val="right"/>
        </w:tabs>
        <w:bidi w:val="0"/>
        <w:spacing w:before="0" w:after="0" w:line="240" w:lineRule="auto"/>
        <w:ind w:left="0" w:right="0" w:firstLine="420"/>
        <w:jc w:val="both"/>
      </w:pPr>
      <w:r>
        <w:rPr>
          <w:color w:val="000000"/>
          <w:spacing w:val="0"/>
          <w:w w:val="100"/>
          <w:position w:val="0"/>
        </w:rPr>
        <w:t>(modelling) cycle, mathematical contents, context and selected 21</w:t>
      </w:r>
      <w:r>
        <w:rPr>
          <w:color w:val="000000"/>
          <w:spacing w:val="0"/>
          <w:w w:val="100"/>
          <w:position w:val="0"/>
          <w:vertAlign w:val="superscript"/>
        </w:rPr>
        <w:t>st</w:t>
      </w:r>
      <w:r>
        <w:rPr>
          <w:color w:val="000000"/>
          <w:spacing w:val="0"/>
          <w:w w:val="100"/>
          <w:position w:val="0"/>
        </w:rPr>
        <w:t xml:space="preserve"> century skills</w:t>
        <w:tab/>
        <w:t>10</w:t>
      </w:r>
    </w:p>
    <w:p>
      <w:pPr>
        <w:pStyle w:val="Style20"/>
        <w:keepNext w:val="0"/>
        <w:keepLines w:val="0"/>
        <w:widowControl w:val="0"/>
        <w:shd w:val="clear" w:color="auto" w:fill="auto"/>
        <w:tabs>
          <w:tab w:leader="dot" w:pos="8519" w:val="right"/>
        </w:tabs>
        <w:bidi w:val="0"/>
        <w:spacing w:before="0" w:after="0" w:line="240" w:lineRule="auto"/>
        <w:ind w:left="0" w:right="0" w:firstLine="0"/>
        <w:jc w:val="both"/>
      </w:pPr>
      <w:r>
        <w:rPr>
          <w:color w:val="000000"/>
          <w:spacing w:val="0"/>
          <w:w w:val="100"/>
          <w:position w:val="0"/>
        </w:rPr>
        <w:t>Figure 3. Example of the PISA 2021 editor tool</w:t>
        <w:tab/>
        <w:t>39</w:t>
      </w:r>
      <w:r>
        <w:fldChar w:fldCharType="end"/>
      </w:r>
    </w:p>
    <w:p>
      <w:pPr>
        <w:pStyle w:val="Style14"/>
        <w:keepNext/>
        <w:keepLines/>
        <w:widowControl w:val="0"/>
        <w:shd w:val="clear" w:color="auto" w:fill="auto"/>
        <w:bidi w:val="0"/>
        <w:spacing w:before="0" w:after="680" w:line="240" w:lineRule="auto"/>
        <w:ind w:left="0" w:right="0" w:firstLine="0"/>
        <w:jc w:val="center"/>
      </w:pPr>
      <w:bookmarkStart w:id="3" w:name="bookmark3"/>
      <w:bookmarkStart w:id="4" w:name="bookmark4"/>
      <w:bookmarkStart w:id="5" w:name="bookmark5"/>
      <w:r>
        <w:rPr>
          <w:spacing w:val="0"/>
          <w:w w:val="100"/>
          <w:position w:val="0"/>
        </w:rPr>
        <w:t>Introduction</w:t>
      </w:r>
      <w:bookmarkEnd w:id="3"/>
      <w:bookmarkEnd w:id="4"/>
      <w:bookmarkEnd w:id="5"/>
    </w:p>
    <w:p>
      <w:pPr>
        <w:pStyle w:val="Style25"/>
        <w:keepNext w:val="0"/>
        <w:keepLines w:val="0"/>
        <w:widowControl w:val="0"/>
        <w:numPr>
          <w:ilvl w:val="0"/>
          <w:numId w:val="1"/>
        </w:numPr>
        <w:shd w:val="clear" w:color="auto" w:fill="auto"/>
        <w:tabs>
          <w:tab w:pos="1284" w:val="left"/>
        </w:tabs>
        <w:bidi w:val="0"/>
        <w:spacing w:before="0" w:line="240" w:lineRule="auto"/>
        <w:ind w:left="640" w:right="0" w:firstLine="0"/>
        <w:jc w:val="both"/>
      </w:pPr>
      <w:bookmarkStart w:id="6" w:name="bookmark6"/>
      <w:bookmarkEnd w:id="6"/>
      <w:r>
        <w:rPr>
          <w:color w:val="000000"/>
          <w:spacing w:val="0"/>
          <w:w w:val="100"/>
          <w:position w:val="0"/>
        </w:rPr>
        <w:t>The assessment of mathematics has particular significance for PISA 2021, as mathematics is again the major domain assessed. Although mathematics was assessed by PISA in 2000, 2003, 2006, 2009, 2012, 2015 and 2018, the domain was the main area of focus only in 2003 and 2012.</w:t>
      </w:r>
    </w:p>
    <w:p>
      <w:pPr>
        <w:pStyle w:val="Style25"/>
        <w:keepNext w:val="0"/>
        <w:keepLines w:val="0"/>
        <w:widowControl w:val="0"/>
        <w:numPr>
          <w:ilvl w:val="0"/>
          <w:numId w:val="1"/>
        </w:numPr>
        <w:shd w:val="clear" w:color="auto" w:fill="auto"/>
        <w:tabs>
          <w:tab w:pos="1284" w:val="left"/>
        </w:tabs>
        <w:bidi w:val="0"/>
        <w:spacing w:before="0" w:line="240" w:lineRule="auto"/>
        <w:ind w:left="640" w:right="0" w:firstLine="0"/>
        <w:jc w:val="both"/>
      </w:pPr>
      <w:bookmarkStart w:id="7" w:name="bookmark7"/>
      <w:bookmarkEnd w:id="7"/>
      <w:r>
        <w:rPr>
          <w:color w:val="000000"/>
          <w:spacing w:val="0"/>
          <w:w w:val="100"/>
          <w:position w:val="0"/>
        </w:rPr>
        <w:t>The return of mathematics as the major domain in PISA 2021 provides both the opportunity to continue to make comparisons in student performance over time, and to re-examine what should be assessed in light of changes that have occurred in the world, the field and in instructional policies and practices.</w:t>
      </w:r>
    </w:p>
    <w:p>
      <w:pPr>
        <w:pStyle w:val="Style25"/>
        <w:keepNext w:val="0"/>
        <w:keepLines w:val="0"/>
        <w:widowControl w:val="0"/>
        <w:numPr>
          <w:ilvl w:val="0"/>
          <w:numId w:val="1"/>
        </w:numPr>
        <w:shd w:val="clear" w:color="auto" w:fill="auto"/>
        <w:tabs>
          <w:tab w:pos="1284" w:val="left"/>
        </w:tabs>
        <w:bidi w:val="0"/>
        <w:spacing w:before="0" w:line="240" w:lineRule="auto"/>
        <w:ind w:left="640" w:right="0" w:firstLine="0"/>
        <w:jc w:val="both"/>
      </w:pPr>
      <w:bookmarkStart w:id="8" w:name="bookmark8"/>
      <w:bookmarkEnd w:id="8"/>
      <w:r>
        <w:rPr>
          <w:color w:val="000000"/>
          <w:spacing w:val="0"/>
          <w:w w:val="100"/>
          <w:position w:val="0"/>
        </w:rPr>
        <w:t>Each country has a vision of mathematical competence and organises their schooling to achieve it as an expected outcome. Mathematical competence historically encompassed performing basic arithmetic skills or operations, including adding, subtracting, multiplying, and dividing whole numbers, decimals, and fractions; computing percentages; and computing the area and volume of simple geometric shapes. In recent times, the digitisation of many aspects of life, the ubiquity of data for making personal decisions involving initially education and career planning, and, later in life, health and investments, as well as major societal challenges to address areas such as climate change, governmental debt, population growth, spread of pandemic diseases and the globalising economy, have reshaped what it means to be mathematically competent and to be well equipped to participate as a thoughtfill, engaged, and reflective citizen in the 21</w:t>
      </w:r>
      <w:r>
        <w:rPr>
          <w:color w:val="000000"/>
          <w:spacing w:val="0"/>
          <w:w w:val="100"/>
          <w:position w:val="0"/>
          <w:vertAlign w:val="superscript"/>
        </w:rPr>
        <w:t>st</w:t>
      </w:r>
      <w:r>
        <w:rPr>
          <w:color w:val="000000"/>
          <w:spacing w:val="0"/>
          <w:w w:val="100"/>
          <w:position w:val="0"/>
        </w:rPr>
        <w:t xml:space="preserve"> century.</w:t>
      </w:r>
    </w:p>
    <w:p>
      <w:pPr>
        <w:pStyle w:val="Style25"/>
        <w:keepNext w:val="0"/>
        <w:keepLines w:val="0"/>
        <w:widowControl w:val="0"/>
        <w:numPr>
          <w:ilvl w:val="0"/>
          <w:numId w:val="1"/>
        </w:numPr>
        <w:shd w:val="clear" w:color="auto" w:fill="auto"/>
        <w:tabs>
          <w:tab w:pos="1284" w:val="left"/>
        </w:tabs>
        <w:bidi w:val="0"/>
        <w:spacing w:before="0" w:line="240" w:lineRule="auto"/>
        <w:ind w:left="640" w:right="0" w:firstLine="0"/>
        <w:jc w:val="both"/>
      </w:pPr>
      <w:bookmarkStart w:id="9" w:name="bookmark9"/>
      <w:bookmarkEnd w:id="9"/>
      <w:r>
        <w:rPr>
          <w:color w:val="000000"/>
          <w:spacing w:val="0"/>
          <w:w w:val="100"/>
          <w:position w:val="0"/>
        </w:rPr>
        <w:t>The critical issues listed above as well as others that are facing societies throughout the world all have a quantitative component to them. Understanding them, as well as addressing them, at least in part, requires being mathematically literate and thinking mathematically. Such mathematical thinking in more and more complex contexts is not driven by the reproduction of the basic computational procedures mentioned earlier, but rather by reasoning</w:t>
      </w:r>
      <w:r>
        <w:rPr>
          <w:color w:val="000000"/>
          <w:spacing w:val="0"/>
          <w:w w:val="100"/>
          <w:position w:val="0"/>
          <w:vertAlign w:val="superscript"/>
        </w:rPr>
        <w:footnoteReference w:id="2"/>
      </w:r>
      <w:r>
        <w:rPr>
          <w:color w:val="000000"/>
          <w:spacing w:val="0"/>
          <w:w w:val="100"/>
          <w:position w:val="0"/>
        </w:rPr>
        <w:t xml:space="preserve"> (both deductive and inductive). The important role of reasoning needs greater emphasis in our understanding of what it means for students to be mathematically literate. In addition to problem solving, this framework argues that mathematical literacy in the 21</w:t>
      </w:r>
      <w:r>
        <w:rPr>
          <w:color w:val="000000"/>
          <w:spacing w:val="0"/>
          <w:w w:val="100"/>
          <w:position w:val="0"/>
          <w:vertAlign w:val="superscript"/>
        </w:rPr>
        <w:t>st</w:t>
      </w:r>
      <w:r>
        <w:rPr>
          <w:color w:val="000000"/>
          <w:spacing w:val="0"/>
          <w:w w:val="100"/>
          <w:position w:val="0"/>
        </w:rPr>
        <w:t xml:space="preserve"> century includes mathematical reasoning and some aspects of computational thinking.</w:t>
      </w:r>
    </w:p>
    <w:p>
      <w:pPr>
        <w:pStyle w:val="Style25"/>
        <w:keepNext w:val="0"/>
        <w:keepLines w:val="0"/>
        <w:widowControl w:val="0"/>
        <w:numPr>
          <w:ilvl w:val="0"/>
          <w:numId w:val="1"/>
        </w:numPr>
        <w:shd w:val="clear" w:color="auto" w:fill="auto"/>
        <w:tabs>
          <w:tab w:pos="1284" w:val="left"/>
        </w:tabs>
        <w:bidi w:val="0"/>
        <w:spacing w:before="0" w:line="240" w:lineRule="auto"/>
        <w:ind w:left="640" w:right="0" w:firstLine="0"/>
        <w:jc w:val="both"/>
      </w:pPr>
      <w:bookmarkStart w:id="10" w:name="bookmark10"/>
      <w:bookmarkEnd w:id="10"/>
      <w:r>
        <w:rPr>
          <w:color w:val="000000"/>
          <w:spacing w:val="0"/>
          <w:w w:val="100"/>
          <w:position w:val="0"/>
        </w:rPr>
        <w:t>Countries today face new opportunities and challenges in all areas of life, many of which stem from the rapid deployment of computers and devices like robots, smartphones and networked machines. For example, the vast majority of young adults and students who started university post 2015 have always considered phones to be mobile hand-held devices capable of sharing voice, texts, and images and accessing the internet - capabilities seen as science fiction by many of their parents and certainly by all of their grandparents (Beloit College, 2017[i]). The recognition of the growing contextual discontinuity between the last century and the future has prompted a discussion around the development of 21</w:t>
      </w:r>
      <w:r>
        <w:rPr>
          <w:color w:val="000000"/>
          <w:spacing w:val="0"/>
          <w:w w:val="100"/>
          <w:position w:val="0"/>
          <w:vertAlign w:val="superscript"/>
        </w:rPr>
        <w:t>st</w:t>
      </w:r>
      <w:r>
        <w:rPr>
          <w:color w:val="000000"/>
          <w:spacing w:val="0"/>
          <w:w w:val="100"/>
          <w:position w:val="0"/>
        </w:rPr>
        <w:t xml:space="preserve"> century skills in students (Ananiadou and Claro, 2009p]; Fadel, Bialik and Trilling, 2015[3j; National Research Council, 2012[4j; Reimers and Chung, 2016[5j).</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11" w:name="bookmark11"/>
      <w:bookmarkEnd w:id="11"/>
      <w:r>
        <w:rPr>
          <w:color w:val="000000"/>
          <w:spacing w:val="0"/>
          <w:w w:val="100"/>
          <w:position w:val="0"/>
        </w:rPr>
        <w:t>It is this discontinuity that also drives the need for education reform and the challenge of achieving it. Periodically, educators, policy makers, and other stakeholders revisit public education standards and policies. In the course of these deliberations new or revised responses to two general questions are generated: 1) What do students need to learn, and 2) Which students need to learn what? The most used argument in defence of mathematics education for all students is its usefulness in various practical situations. However, this argument alone gets weaker with time - a lot of simple activities have been automated. Not so long ago waiters in restaurants would multiply and add on paper to calculate the price to be paid. Today they just press buttons on hand-held devices. Not so long ago people used printed timetables to plan travel - it required a good understanding of the time axis and inequalities as well as interpreting complex two-way tables. Today we can just make a direct internet inquiry.</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12" w:name="bookmark12"/>
      <w:bookmarkEnd w:id="12"/>
      <w:r>
        <w:rPr>
          <w:color w:val="000000"/>
          <w:spacing w:val="0"/>
          <w:w w:val="100"/>
          <w:position w:val="0"/>
        </w:rPr>
        <w:t>As to the question of “what to teach”, many restrictive understandings arise from the way mathematics is conceived. Many people see mathematics as no more than a useful toolbox. A clear trace of this approach can be found in the school curricula of many countries. These are sometimes confined to a list of mathematics topics or procedures, with students asked to practice a selected few, in predictable (often test) situations. This perspective on mathematics is far too narrow for today’s world. It overlooks key features of mathematics that are growing in importance. Notwithstanding the above remark, there are an increasing number of countries that emphasise reasoning and the importance of relevant contexts in their curricula. Perhaps these countries cab serve as helpful models to others.</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13" w:name="bookmark13"/>
      <w:bookmarkEnd w:id="13"/>
      <w:r>
        <w:rPr>
          <w:color w:val="000000"/>
          <w:spacing w:val="0"/>
          <w:w w:val="100"/>
          <w:position w:val="0"/>
        </w:rPr>
        <w:t>Ultimately the answer to these questions is that every student should learn (and be given the opportunity to learn) to think mathematically, using mathematical reasoning (both deductive and inductive) in conjunction with a small set of fundamental mathematical concepts that support this reasoning and which themselves are not necessarily taught explicitly but are made manifest and reinforced throughout a student’s learning experiences. This equips students with a conceptual framework through which to address the quantitative dimensions of life in the 21</w:t>
      </w:r>
      <w:r>
        <w:rPr>
          <w:color w:val="000000"/>
          <w:spacing w:val="0"/>
          <w:w w:val="100"/>
          <w:position w:val="0"/>
          <w:vertAlign w:val="superscript"/>
        </w:rPr>
        <w:t>st</w:t>
      </w:r>
      <w:r>
        <w:rPr>
          <w:color w:val="000000"/>
          <w:spacing w:val="0"/>
          <w:w w:val="100"/>
          <w:position w:val="0"/>
        </w:rPr>
        <w:t xml:space="preserve"> century.</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14" w:name="bookmark14"/>
      <w:bookmarkEnd w:id="14"/>
      <w:r>
        <w:rPr>
          <w:color w:val="000000"/>
          <w:spacing w:val="0"/>
          <w:w w:val="100"/>
          <w:position w:val="0"/>
        </w:rPr>
        <w:t>The PISA 2021 framework is designed to make the relevance of mathematics to 15-year-old students clearer and more explicit, while ensuring that the items developed remain set in meaningful and authentic contexts. The mathematical modelling cycle, used in earlier frameworks (e.g. OECD (2004[6j; 2013 [7])) to describe the stages individuals go through in solving contextualised problems, remains a key feature of the PISA 2021 framework. It is used to help define the mathematical processes in which students engage as they solve problems - processes that together with mathematical reasoning (both deductive and inductive) will provide the primary reporting dimensions.</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15" w:name="bookmark15"/>
      <w:bookmarkEnd w:id="15"/>
      <w:r>
        <w:rPr>
          <w:color w:val="000000"/>
          <w:spacing w:val="0"/>
          <w:w w:val="100"/>
          <w:position w:val="0"/>
        </w:rPr>
        <w:t>For PISA 2021, computer-based assessment of mathematics (CBAM) will be the primary mode of delivery for assessing mathematical literacy. However, paper-based assessment instruments will be provided for countries choosing not to test their students by computer. The framework has been updated to also reflect the change in delivery mode introduced in 2015, including a discussion of the considerations that should inform the development of the CBAM items as this will be the first major update to the mathematics framework since computer-based assessment was introduced in PISA.</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16" w:name="bookmark16"/>
      <w:bookmarkEnd w:id="16"/>
      <w:r>
        <w:rPr>
          <w:color w:val="000000"/>
          <w:spacing w:val="0"/>
          <w:w w:val="100"/>
          <w:position w:val="0"/>
        </w:rPr>
        <w:t xml:space="preserve">The development of the PISA 2021 framework takes into account the expectation of OECD that there will be an increase in the participation in PISA of low- and middle-income countries. In particular the PISA 2021 framework recognises the need to increase the resolution of the PISA assessments at the lower end of the student </w:t>
      </w:r>
      <w:r>
        <w:rPr>
          <w:color w:val="000000"/>
          <w:spacing w:val="0"/>
          <w:w w:val="100"/>
          <w:position w:val="0"/>
        </w:rPr>
        <w:t>performance distribution by drawing from the PISA for Development (OECD, 2017[sj) framework when developing the assessment; the need to expand the performance scale at the lower end; the importance of capturing a wider range of social and economic contexts; and the anticipation of incorporating an assessment of out-of-school 14- to 16-year-olds.</w:t>
      </w:r>
    </w:p>
    <w:p>
      <w:pPr>
        <w:pStyle w:val="Style25"/>
        <w:keepNext w:val="0"/>
        <w:keepLines w:val="0"/>
        <w:widowControl w:val="0"/>
        <w:numPr>
          <w:ilvl w:val="0"/>
          <w:numId w:val="1"/>
        </w:numPr>
        <w:shd w:val="clear" w:color="auto" w:fill="auto"/>
        <w:tabs>
          <w:tab w:pos="1284" w:val="left"/>
        </w:tabs>
        <w:bidi w:val="0"/>
        <w:spacing w:before="0" w:after="100" w:line="240" w:lineRule="auto"/>
        <w:ind w:left="640" w:right="0" w:firstLine="0"/>
        <w:jc w:val="both"/>
      </w:pPr>
      <w:bookmarkStart w:id="17" w:name="bookmark17"/>
      <w:bookmarkEnd w:id="17"/>
      <w:r>
        <w:rPr>
          <w:color w:val="000000"/>
          <w:spacing w:val="0"/>
          <w:w w:val="100"/>
          <w:position w:val="0"/>
        </w:rPr>
        <w:t>The increasing and evolving role of computers and computing tools in both day-to-day life and in mathematical literacy problem solving contexts is reflected in the recognition in the PISA 2021 framework that students should possess and be able to demonstrate computational thinking skills as they apply to mathematics as part of their problem-solving practice. Computational thinking skills include pattern recognition, designing and using abstraction, pattern decomposition, determining which (if any) computing tools could be employed in analysing or solving a problem, and defining algorithms as part of a detailed solution. By foregrounding the importance of computational thinking as it applies to mathematics, the framework anticipates a reflection by participating countries on the role of computational thinking in mathematics curricula and pedagogy.</w:t>
      </w:r>
    </w:p>
    <w:p>
      <w:pPr>
        <w:pStyle w:val="Style25"/>
        <w:keepNext w:val="0"/>
        <w:keepLines w:val="0"/>
        <w:widowControl w:val="0"/>
        <w:numPr>
          <w:ilvl w:val="0"/>
          <w:numId w:val="1"/>
        </w:numPr>
        <w:shd w:val="clear" w:color="auto" w:fill="auto"/>
        <w:tabs>
          <w:tab w:pos="1284" w:val="left"/>
        </w:tabs>
        <w:bidi w:val="0"/>
        <w:spacing w:before="0" w:after="100" w:line="240" w:lineRule="auto"/>
        <w:ind w:left="640" w:right="0" w:firstLine="0"/>
        <w:jc w:val="both"/>
      </w:pPr>
      <w:bookmarkStart w:id="18" w:name="bookmark18"/>
      <w:bookmarkEnd w:id="18"/>
      <w:r>
        <w:rPr>
          <w:color w:val="000000"/>
          <w:spacing w:val="0"/>
          <w:w w:val="100"/>
          <w:position w:val="0"/>
        </w:rPr>
        <w:t>The PISA 2021 mathematics framework is organised into three major sections. The first section, ‘Definition of Mathematical Literacy</w:t>
      </w:r>
      <w:r>
        <w:rPr>
          <w:color w:val="000000"/>
          <w:spacing w:val="0"/>
          <w:w w:val="100"/>
          <w:position w:val="0"/>
          <w:vertAlign w:val="superscript"/>
        </w:rPr>
        <w:t>5</w:t>
      </w:r>
      <w:r>
        <w:rPr>
          <w:color w:val="000000"/>
          <w:spacing w:val="0"/>
          <w:w w:val="100"/>
          <w:position w:val="0"/>
        </w:rPr>
        <w:t xml:space="preserve">, explains the theoretical underpinnings of the PISA mathematics assessment, including the formal definition of the </w:t>
      </w:r>
      <w:r>
        <w:rPr>
          <w:i/>
          <w:iCs/>
          <w:color w:val="000000"/>
          <w:spacing w:val="0"/>
          <w:w w:val="100"/>
          <w:position w:val="0"/>
        </w:rPr>
        <w:t>mathematical literacy</w:t>
      </w:r>
      <w:r>
        <w:rPr>
          <w:color w:val="000000"/>
          <w:spacing w:val="0"/>
          <w:w w:val="100"/>
          <w:position w:val="0"/>
        </w:rPr>
        <w:t xml:space="preserve"> construct. The second section, ‘Organisation of the Domain’, describes four aspects: a) mathematical reasoning and the three mathematical </w:t>
      </w:r>
      <w:r>
        <w:rPr>
          <w:i/>
          <w:iCs/>
          <w:color w:val="000000"/>
          <w:spacing w:val="0"/>
          <w:w w:val="100"/>
          <w:position w:val="0"/>
        </w:rPr>
        <w:t>processes</w:t>
      </w:r>
      <w:r>
        <w:rPr>
          <w:color w:val="000000"/>
          <w:spacing w:val="0"/>
          <w:w w:val="100"/>
          <w:position w:val="0"/>
        </w:rPr>
        <w:t xml:space="preserve"> (of the modelling/problem solving cycle); b) the way mathematical </w:t>
      </w:r>
      <w:r>
        <w:rPr>
          <w:i/>
          <w:iCs/>
          <w:color w:val="000000"/>
          <w:spacing w:val="0"/>
          <w:w w:val="100"/>
          <w:position w:val="0"/>
        </w:rPr>
        <w:t>content</w:t>
      </w:r>
      <w:r>
        <w:rPr>
          <w:color w:val="000000"/>
          <w:spacing w:val="0"/>
          <w:w w:val="100"/>
          <w:position w:val="0"/>
        </w:rPr>
        <w:t xml:space="preserve"> knowledge is organised in the PISA 2021 framework, and the content knowledge that is relevant to an assessment of 15-year-old students; c) the relationship between mathematical literacy and the so-called </w:t>
      </w:r>
      <w:r>
        <w:rPr>
          <w:i/>
          <w:iCs/>
          <w:color w:val="000000"/>
          <w:spacing w:val="0"/>
          <w:w w:val="100"/>
          <w:position w:val="0"/>
        </w:rPr>
        <w:t>21</w:t>
      </w:r>
      <w:r>
        <w:rPr>
          <w:i/>
          <w:iCs/>
          <w:color w:val="000000"/>
          <w:spacing w:val="0"/>
          <w:w w:val="100"/>
          <w:position w:val="0"/>
          <w:vertAlign w:val="superscript"/>
        </w:rPr>
        <w:t>st</w:t>
      </w:r>
      <w:r>
        <w:rPr>
          <w:i/>
          <w:iCs/>
          <w:color w:val="000000"/>
          <w:spacing w:val="0"/>
          <w:w w:val="100"/>
          <w:position w:val="0"/>
        </w:rPr>
        <w:t xml:space="preserve"> Century skills',</w:t>
      </w:r>
      <w:r>
        <w:rPr>
          <w:color w:val="000000"/>
          <w:spacing w:val="0"/>
          <w:w w:val="100"/>
          <w:position w:val="0"/>
        </w:rPr>
        <w:t xml:space="preserve"> and d) the </w:t>
      </w:r>
      <w:r>
        <w:rPr>
          <w:i/>
          <w:iCs/>
          <w:color w:val="000000"/>
          <w:spacing w:val="0"/>
          <w:w w:val="100"/>
          <w:position w:val="0"/>
        </w:rPr>
        <w:t>contexts</w:t>
      </w:r>
      <w:r>
        <w:rPr>
          <w:color w:val="000000"/>
          <w:spacing w:val="0"/>
          <w:w w:val="100"/>
          <w:position w:val="0"/>
        </w:rPr>
        <w:t xml:space="preserve"> in which students will face mathematical challenges. The third section, ‘Assessing Mathematical Literacy’, outlines structural issues about the assessment, including a test blueprint and other technical information.</w:t>
      </w:r>
    </w:p>
    <w:p>
      <w:pPr>
        <w:pStyle w:val="Style25"/>
        <w:keepNext w:val="0"/>
        <w:keepLines w:val="0"/>
        <w:widowControl w:val="0"/>
        <w:numPr>
          <w:ilvl w:val="0"/>
          <w:numId w:val="1"/>
        </w:numPr>
        <w:shd w:val="clear" w:color="auto" w:fill="auto"/>
        <w:tabs>
          <w:tab w:pos="1284" w:val="left"/>
        </w:tabs>
        <w:bidi w:val="0"/>
        <w:spacing w:before="0" w:after="100" w:line="240" w:lineRule="auto"/>
        <w:ind w:left="640" w:right="0" w:firstLine="0"/>
        <w:jc w:val="both"/>
      </w:pPr>
      <w:bookmarkStart w:id="19" w:name="bookmark19"/>
      <w:bookmarkEnd w:id="19"/>
      <w:r>
        <w:rPr>
          <w:color w:val="000000"/>
          <w:spacing w:val="0"/>
          <w:w w:val="100"/>
          <w:position w:val="0"/>
        </w:rPr>
        <w:t xml:space="preserve">For the sake of ensuring the preservation of trend, the majority of the items in the PISA 2021 will be items that have been used in previous PISA assessments. A large collection of release items based on the previous framework can be found at </w:t>
      </w:r>
      <w:r>
        <w:fldChar w:fldCharType="begin"/>
      </w:r>
      <w:r>
        <w:rPr/>
        <w:instrText> HYPERLINK "http://www.oecd.org/pisa/test" </w:instrText>
      </w:r>
      <w:r>
        <w:fldChar w:fldCharType="separate"/>
      </w:r>
      <w:r>
        <w:rPr>
          <w:color w:val="000000"/>
          <w:spacing w:val="0"/>
          <w:w w:val="100"/>
          <w:position w:val="0"/>
        </w:rPr>
        <w:t>http://www.oecd.org/pisa/test</w:t>
      </w:r>
      <w:r>
        <w:fldChar w:fldCharType="end"/>
      </w:r>
      <w:r>
        <w:rPr>
          <w:color w:val="000000"/>
          <w:spacing w:val="0"/>
          <w:w w:val="100"/>
          <w:position w:val="0"/>
        </w:rPr>
        <w:t xml:space="preserve">. </w:t>
      </w:r>
      <w:r>
        <w:rPr>
          <w:b/>
          <w:bCs/>
          <w:color w:val="000000"/>
          <w:spacing w:val="0"/>
          <w:w w:val="100"/>
          <w:position w:val="0"/>
          <w:sz w:val="19"/>
          <w:szCs w:val="19"/>
        </w:rPr>
        <w:t xml:space="preserve">Annex A </w:t>
      </w:r>
      <w:r>
        <w:rPr>
          <w:color w:val="000000"/>
          <w:spacing w:val="0"/>
          <w:w w:val="100"/>
          <w:position w:val="0"/>
        </w:rPr>
        <w:t>provides seven illustrative items that attempt to illustrate the most important new elements of the 2021 framework.</w:t>
      </w:r>
    </w:p>
    <w:p>
      <w:pPr>
        <w:pStyle w:val="Style25"/>
        <w:keepNext w:val="0"/>
        <w:keepLines w:val="0"/>
        <w:widowControl w:val="0"/>
        <w:numPr>
          <w:ilvl w:val="0"/>
          <w:numId w:val="1"/>
        </w:numPr>
        <w:shd w:val="clear" w:color="auto" w:fill="auto"/>
        <w:tabs>
          <w:tab w:pos="1284" w:val="left"/>
        </w:tabs>
        <w:bidi w:val="0"/>
        <w:spacing w:before="0" w:after="100" w:line="240" w:lineRule="auto"/>
        <w:ind w:left="640" w:right="0" w:firstLine="0"/>
        <w:jc w:val="both"/>
      </w:pPr>
      <w:bookmarkStart w:id="20" w:name="bookmark20"/>
      <w:bookmarkEnd w:id="20"/>
      <w:r>
        <w:rPr>
          <w:color w:val="000000"/>
          <w:spacing w:val="0"/>
          <w:w w:val="100"/>
          <w:position w:val="0"/>
        </w:rPr>
        <w:t>The 2021 framework was written under the guidance of the 2021 mathematics expert group (MEG), a body appointed by the PISA contractor for the mathematics framework (RTI International), in consultation with the PISA Governing Board (PGB). The eight MEG members included mathematicians, statisticians, mathematics educators, and experts in assessment, technology, and education research from a range of countries. The MEG were further supported by an extended MEG (eMEG) group, made up of ten experts acting as peer reviewers of the framework version created by the MEG. The eMEG included experts with a range of mathematics expertise from differing countries. Additional reviews were undertaken by experts on behalf of the over 80 countries constituting the PISA Governing Board. RTI International, as contracted by the Organisation for Economic Co-operation and Development (OECD), conducted two further research efforts: a face validity validation survey amongst educators, universities and employers; and a cognitive laboratory with 15-year-olds in different countries to obtain student feedback on the sample items presented in the framework. The work of the PISA 2021 MEG builds on previous versions of the PISA Mathematics Framework and incorporates the recommendations of the Mathematics Strategic Advisory Group convened by OECD in 2017.</w:t>
      </w:r>
    </w:p>
    <w:p>
      <w:pPr>
        <w:pStyle w:val="Style29"/>
        <w:keepNext w:val="0"/>
        <w:keepLines w:val="0"/>
        <w:widowControl w:val="0"/>
        <w:shd w:val="clear" w:color="auto" w:fill="auto"/>
        <w:bidi w:val="0"/>
        <w:spacing w:before="0" w:line="240" w:lineRule="auto"/>
        <w:ind w:left="0" w:right="0" w:firstLine="0"/>
        <w:jc w:val="center"/>
      </w:pPr>
      <w:r>
        <w:rPr>
          <w:spacing w:val="0"/>
          <w:w w:val="100"/>
          <w:position w:val="0"/>
        </w:rPr>
        <w:t>Definition of Mathematical Literacy</w:t>
      </w:r>
    </w:p>
    <w:p>
      <w:pPr>
        <w:pStyle w:val="Style25"/>
        <w:keepNext w:val="0"/>
        <w:keepLines w:val="0"/>
        <w:widowControl w:val="0"/>
        <w:numPr>
          <w:ilvl w:val="0"/>
          <w:numId w:val="1"/>
        </w:numPr>
        <w:shd w:val="clear" w:color="auto" w:fill="auto"/>
        <w:tabs>
          <w:tab w:pos="1269" w:val="left"/>
        </w:tabs>
        <w:bidi w:val="0"/>
        <w:spacing w:before="0" w:after="100" w:line="240" w:lineRule="auto"/>
        <w:ind w:left="620" w:right="0" w:firstLine="20"/>
        <w:jc w:val="both"/>
      </w:pPr>
      <w:bookmarkStart w:id="21" w:name="bookmark21"/>
      <w:bookmarkEnd w:id="21"/>
      <w:r>
        <w:rPr>
          <w:color w:val="000000"/>
          <w:spacing w:val="0"/>
          <w:w w:val="100"/>
          <w:position w:val="0"/>
        </w:rPr>
        <w:t>An understanding of mathematics is central to a young person’s preparedness for participation in and contribution to modem society. A growing proportion of problems and situations encountered in daily life, including in professional contexts, require some level of understanding of mathematics before they can be properly understood and addressed. Mathematics is a critical tool for young people as they confront a wide range of issues and challenges in the various aspects of their lives.</w:t>
      </w:r>
    </w:p>
    <w:p>
      <w:pPr>
        <w:pStyle w:val="Style25"/>
        <w:keepNext w:val="0"/>
        <w:keepLines w:val="0"/>
        <w:widowControl w:val="0"/>
        <w:numPr>
          <w:ilvl w:val="0"/>
          <w:numId w:val="1"/>
        </w:numPr>
        <w:shd w:val="clear" w:color="auto" w:fill="auto"/>
        <w:tabs>
          <w:tab w:pos="1269" w:val="left"/>
        </w:tabs>
        <w:bidi w:val="0"/>
        <w:spacing w:before="0" w:after="100" w:line="240" w:lineRule="auto"/>
        <w:ind w:left="620" w:right="0" w:firstLine="20"/>
        <w:jc w:val="both"/>
      </w:pPr>
      <w:bookmarkStart w:id="22" w:name="bookmark22"/>
      <w:bookmarkEnd w:id="22"/>
      <w:r>
        <w:rPr>
          <w:color w:val="000000"/>
          <w:spacing w:val="0"/>
          <w:w w:val="100"/>
          <w:position w:val="0"/>
        </w:rPr>
        <w:t>It is therefore important to have an understanding of the degree to which young people emerging from school are adequately prepared to use mathematics to think about their lives, plan their futures, and reason about and solve meaningful problems related to a range of important issues in their lives. An assessment at age 15 provides countries with an early indication of how individuals may respond in later life to the diverse array of situations they will encounter that both involve mathematics and rely on mathematical reasoning (both deductive and inductive) and problem solving to make sense of.</w:t>
      </w:r>
    </w:p>
    <w:p>
      <w:pPr>
        <w:pStyle w:val="Style25"/>
        <w:keepNext w:val="0"/>
        <w:keepLines w:val="0"/>
        <w:widowControl w:val="0"/>
        <w:numPr>
          <w:ilvl w:val="0"/>
          <w:numId w:val="1"/>
        </w:numPr>
        <w:shd w:val="clear" w:color="auto" w:fill="auto"/>
        <w:tabs>
          <w:tab w:pos="1269" w:val="left"/>
        </w:tabs>
        <w:bidi w:val="0"/>
        <w:spacing w:before="0" w:after="100" w:line="240" w:lineRule="auto"/>
        <w:ind w:left="620" w:right="0" w:firstLine="20"/>
        <w:jc w:val="both"/>
      </w:pPr>
      <w:bookmarkStart w:id="23" w:name="bookmark23"/>
      <w:bookmarkEnd w:id="23"/>
      <w:r>
        <w:rPr>
          <w:color w:val="000000"/>
          <w:spacing w:val="0"/>
          <w:w w:val="100"/>
          <w:position w:val="0"/>
        </w:rPr>
        <w:t xml:space="preserve">As the basis for an international assessment of 15 -year-old students, it is reasonable to ask: “What is important for citizens to know and be able to do in situations that involve mathematics?” More specifically, what does being mathematically competent mean for a 15-year-old, who may be emerging from school or preparing to pursue more specialised training for a career or university admission? It is important that the construct of mathematical literacy, which is used in this framework to denote </w:t>
      </w:r>
      <w:r>
        <w:rPr>
          <w:i/>
          <w:iCs/>
          <w:color w:val="000000"/>
          <w:spacing w:val="0"/>
          <w:w w:val="100"/>
          <w:position w:val="0"/>
        </w:rPr>
        <w:t>the capacity of individuals to reason mathematically and solve problems in a variety of 21</w:t>
      </w:r>
      <w:r>
        <w:rPr>
          <w:i/>
          <w:iCs/>
          <w:color w:val="000000"/>
          <w:spacing w:val="0"/>
          <w:w w:val="100"/>
          <w:position w:val="0"/>
          <w:vertAlign w:val="superscript"/>
        </w:rPr>
        <w:t>st</w:t>
      </w:r>
      <w:r>
        <w:rPr>
          <w:i/>
          <w:iCs/>
          <w:color w:val="000000"/>
          <w:spacing w:val="0"/>
          <w:w w:val="100"/>
          <w:position w:val="0"/>
        </w:rPr>
        <w:t xml:space="preserve"> century contexts,</w:t>
      </w:r>
      <w:r>
        <w:rPr>
          <w:color w:val="000000"/>
          <w:spacing w:val="0"/>
          <w:w w:val="100"/>
          <w:position w:val="0"/>
        </w:rPr>
        <w:t xml:space="preserve"> not be perceived as synonymous with minimal, or low-level, knowledge and skills. Rather, it is intended to describe the capacities of individuals to </w:t>
      </w:r>
      <w:r>
        <w:rPr>
          <w:i/>
          <w:iCs/>
          <w:color w:val="000000"/>
          <w:spacing w:val="0"/>
          <w:w w:val="100"/>
          <w:position w:val="0"/>
        </w:rPr>
        <w:t>reason mathematically and use mathematical concepts, procedures, facts and tools to describe, explain and predict phenomena.</w:t>
      </w:r>
      <w:r>
        <w:rPr>
          <w:color w:val="000000"/>
          <w:spacing w:val="0"/>
          <w:w w:val="100"/>
          <w:position w:val="0"/>
        </w:rPr>
        <w:t xml:space="preserve"> This conception of mathematical literacy recognises the importance of students developing a sound understanding of a range of mathematical concepts and processes and realising the benefits of being engaged in real-world explorations that are supported by that mathematics. The construct of mathematical literacy, as defined for PISA, strongly emphasises the need to develop students’ capacity to use mathematics in context, and it is important that they have rich experiences in their mathematics classrooms to accomplish this. This is as true for those 15-year-old students who are close to the end of their formal mathematics training, students who will continue with the formal study of mathematics, as well as out of school 15-year-olds.</w:t>
      </w:r>
    </w:p>
    <w:p>
      <w:pPr>
        <w:pStyle w:val="Style25"/>
        <w:keepNext w:val="0"/>
        <w:keepLines w:val="0"/>
        <w:widowControl w:val="0"/>
        <w:numPr>
          <w:ilvl w:val="0"/>
          <w:numId w:val="1"/>
        </w:numPr>
        <w:shd w:val="clear" w:color="auto" w:fill="auto"/>
        <w:tabs>
          <w:tab w:pos="1269" w:val="left"/>
        </w:tabs>
        <w:bidi w:val="0"/>
        <w:spacing w:before="0" w:after="100" w:line="240" w:lineRule="auto"/>
        <w:ind w:left="620" w:right="0" w:firstLine="20"/>
        <w:jc w:val="both"/>
      </w:pPr>
      <w:bookmarkStart w:id="24" w:name="bookmark24"/>
      <w:bookmarkEnd w:id="24"/>
      <w:r>
        <w:rPr>
          <w:color w:val="000000"/>
          <w:spacing w:val="0"/>
          <w:w w:val="100"/>
          <w:position w:val="0"/>
        </w:rPr>
        <w:t xml:space="preserve">Mathematical literacy transcends age boundaries. For example, OECD's Programme for the International Assessment of Adult Competencies (PIAAC) defines numeracy as </w:t>
      </w:r>
      <w:r>
        <w:rPr>
          <w:i/>
          <w:iCs/>
          <w:color w:val="000000"/>
          <w:spacing w:val="0"/>
          <w:w w:val="100"/>
          <w:position w:val="0"/>
        </w:rPr>
        <w:t>the ability to access, use, interpret, and communicate mathematical information and ideas, in order to engage in and manage the mathematical demands of a range of situations in adult life.</w:t>
      </w:r>
      <w:r>
        <w:rPr>
          <w:color w:val="000000"/>
          <w:spacing w:val="0"/>
          <w:w w:val="100"/>
          <w:position w:val="0"/>
        </w:rPr>
        <w:t xml:space="preserve"> The parallels between this definition for adults and the PISA 2021 definition of mathematical literacy for 15-year-olds are both marked and unsurprising.</w:t>
      </w:r>
    </w:p>
    <w:p>
      <w:pPr>
        <w:pStyle w:val="Style25"/>
        <w:keepNext w:val="0"/>
        <w:keepLines w:val="0"/>
        <w:widowControl w:val="0"/>
        <w:numPr>
          <w:ilvl w:val="0"/>
          <w:numId w:val="1"/>
        </w:numPr>
        <w:shd w:val="clear" w:color="auto" w:fill="auto"/>
        <w:tabs>
          <w:tab w:pos="1269" w:val="left"/>
        </w:tabs>
        <w:bidi w:val="0"/>
        <w:spacing w:before="0" w:line="240" w:lineRule="auto"/>
        <w:ind w:left="620" w:right="0" w:firstLine="20"/>
        <w:jc w:val="both"/>
      </w:pPr>
      <w:bookmarkStart w:id="25" w:name="bookmark25"/>
      <w:bookmarkEnd w:id="25"/>
      <w:r>
        <w:rPr>
          <w:color w:val="000000"/>
          <w:spacing w:val="0"/>
          <w:w w:val="100"/>
          <w:position w:val="0"/>
        </w:rPr>
        <w:t xml:space="preserve">The assessment of mathematical literacy for 15-year-olds must take into account relevant characteristics of these students; hence, there is a need to identify age-appropriate content, language and contexts. This framework distinguishes between broad categories of content that are important to mathematical literacy for individuals generally, and the specific content topics that are appropriate for 15-year-old students. Mathematical literacy </w:t>
      </w:r>
      <w:r>
        <w:rPr>
          <w:color w:val="000000"/>
          <w:spacing w:val="0"/>
          <w:w w:val="100"/>
          <w:position w:val="0"/>
        </w:rPr>
        <w:t>is not an attribute that an individual either has or does not have. Rather, mathematical literacy is an attribute that is on a continuum, with some individuals being more mathematically literate than others - and with the potential for growth always present.</w:t>
      </w:r>
    </w:p>
    <w:p>
      <w:pPr>
        <w:pStyle w:val="Style25"/>
        <w:keepNext w:val="0"/>
        <w:keepLines w:val="0"/>
        <w:widowControl w:val="0"/>
        <w:numPr>
          <w:ilvl w:val="0"/>
          <w:numId w:val="1"/>
        </w:numPr>
        <w:shd w:val="clear" w:color="auto" w:fill="auto"/>
        <w:tabs>
          <w:tab w:pos="1283" w:val="left"/>
        </w:tabs>
        <w:bidi w:val="0"/>
        <w:spacing w:before="0" w:line="240" w:lineRule="auto"/>
        <w:ind w:left="0" w:right="0" w:firstLine="640"/>
        <w:jc w:val="left"/>
      </w:pPr>
      <w:bookmarkStart w:id="26" w:name="bookmark26"/>
      <w:bookmarkEnd w:id="26"/>
      <w:r>
        <w:rPr>
          <w:color w:val="000000"/>
          <w:spacing w:val="0"/>
          <w:w w:val="100"/>
          <w:position w:val="0"/>
        </w:rPr>
        <w:t>For the purposes of PISA 2021, mathematical literacy is defined as follows:</w:t>
      </w:r>
    </w:p>
    <w:p>
      <w:pPr>
        <w:pStyle w:val="Style25"/>
        <w:keepNext w:val="0"/>
        <w:keepLines w:val="0"/>
        <w:widowControl w:val="0"/>
        <w:shd w:val="clear" w:color="auto" w:fill="auto"/>
        <w:bidi w:val="0"/>
        <w:spacing w:before="0" w:line="240" w:lineRule="auto"/>
        <w:ind w:left="920" w:right="0" w:firstLine="40"/>
        <w:jc w:val="both"/>
      </w:pPr>
      <w:r>
        <w:rPr>
          <w:i/>
          <w:iCs/>
          <w:color w:val="000000"/>
          <w:spacing w:val="0"/>
          <w:w w:val="100"/>
          <w:position w:val="0"/>
        </w:rPr>
        <w:t>Mathematical literacy is an individual’s capacity to reason mathematically and to formulate, employ, and interpret mathematics to solve problems in a variety of real- world contexts. It includes concepts, procedures, facts and tools to describe, explain and predict phenomena. It assists individuals to know the role that mathematics plays in the world and to make the well-founded judgments and decisions needed by constructive, engaged and reflective 21</w:t>
      </w:r>
      <w:r>
        <w:rPr>
          <w:i/>
          <w:iCs/>
          <w:color w:val="000000"/>
          <w:spacing w:val="0"/>
          <w:w w:val="100"/>
          <w:position w:val="0"/>
          <w:vertAlign w:val="superscript"/>
        </w:rPr>
        <w:t>st</w:t>
      </w:r>
      <w:r>
        <w:rPr>
          <w:i/>
          <w:iCs/>
          <w:color w:val="000000"/>
          <w:spacing w:val="0"/>
          <w:w w:val="100"/>
          <w:position w:val="0"/>
        </w:rPr>
        <w:t xml:space="preserve"> century citizens.</w:t>
      </w:r>
    </w:p>
    <w:p>
      <w:pPr>
        <w:pStyle w:val="Style25"/>
        <w:keepNext w:val="0"/>
        <w:keepLines w:val="0"/>
        <w:widowControl w:val="0"/>
        <w:numPr>
          <w:ilvl w:val="0"/>
          <w:numId w:val="1"/>
        </w:numPr>
        <w:shd w:val="clear" w:color="auto" w:fill="auto"/>
        <w:tabs>
          <w:tab w:pos="1283" w:val="left"/>
        </w:tabs>
        <w:bidi w:val="0"/>
        <w:spacing w:before="0" w:line="240" w:lineRule="auto"/>
        <w:ind w:left="640" w:right="0" w:firstLine="0"/>
        <w:jc w:val="both"/>
      </w:pPr>
      <w:bookmarkStart w:id="27" w:name="bookmark27"/>
      <w:bookmarkEnd w:id="27"/>
      <w:r>
        <w:rPr>
          <w:color w:val="000000"/>
          <w:spacing w:val="0"/>
          <w:w w:val="100"/>
          <w:position w:val="0"/>
        </w:rPr>
        <w:t>The PISA 2021 framework, when compared with the PISA 2003 and PISA 2012 frameworks, while appreciating and preserving the basic ideas of mathematical literacy developed there, acknowledges a number of shifts in the world of the student which in turn signal a shift on how to assess mathematical literacy in comparison to the approach used in previous frameworks. The trend is to move away from the need to perform basic calculations to a rapidly changing world driven by new technologies and trends in which citizens are creative and engaged, making judgements for themselves and the society in which they live.</w:t>
      </w:r>
    </w:p>
    <w:p>
      <w:pPr>
        <w:pStyle w:val="Style25"/>
        <w:keepNext w:val="0"/>
        <w:keepLines w:val="0"/>
        <w:widowControl w:val="0"/>
        <w:numPr>
          <w:ilvl w:val="0"/>
          <w:numId w:val="1"/>
        </w:numPr>
        <w:shd w:val="clear" w:color="auto" w:fill="auto"/>
        <w:tabs>
          <w:tab w:pos="1283" w:val="left"/>
        </w:tabs>
        <w:bidi w:val="0"/>
        <w:spacing w:before="0" w:line="240" w:lineRule="auto"/>
        <w:ind w:left="640" w:right="0" w:firstLine="0"/>
        <w:jc w:val="both"/>
      </w:pPr>
      <w:bookmarkStart w:id="28" w:name="bookmark28"/>
      <w:bookmarkEnd w:id="28"/>
      <w:r>
        <w:rPr>
          <w:color w:val="000000"/>
          <w:spacing w:val="0"/>
          <w:w w:val="100"/>
          <w:position w:val="0"/>
        </w:rPr>
        <w:t>As technology will play a growing role in the lives of students, the long-term trajectory of mathematical literacy should also encompass the synergistic and reciprocal relationship between mathematical thinking and computational thinking, introduced in (Wing 2006</w:t>
      </w:r>
      <w:r>
        <w:rPr>
          <w:color w:val="000000"/>
          <w:spacing w:val="0"/>
          <w:w w:val="100"/>
          <w:position w:val="0"/>
          <w:vertAlign w:val="superscript"/>
        </w:rPr>
        <w:footnoteReference w:id="3"/>
      </w:r>
      <w:r>
        <w:rPr>
          <w:color w:val="000000"/>
          <w:spacing w:val="0"/>
          <w:w w:val="100"/>
          <w:position w:val="0"/>
        </w:rPr>
        <w:t>) as “the way computer scientists think” and regarded as a thought process entailed in formulating problems and designing their solutions in a form that can be executed by a computer, a human, or a combination of both (Wing 2011</w:t>
      </w:r>
      <w:r>
        <w:rPr>
          <w:color w:val="000000"/>
          <w:spacing w:val="0"/>
          <w:w w:val="100"/>
          <w:position w:val="0"/>
          <w:vertAlign w:val="superscript"/>
        </w:rPr>
        <w:footnoteReference w:id="4"/>
      </w:r>
      <w:r>
        <w:rPr>
          <w:color w:val="000000"/>
          <w:spacing w:val="0"/>
          <w:w w:val="100"/>
          <w:position w:val="0"/>
        </w:rPr>
        <w:t>). The roles computational thinking play in mathematics include how specific mathematical topics interact with specific computing topics, and how mathematical reasoning complements computational thinking (Gadanidis, 2015p]; Rambally, 2O17[io]). For example, Pratt and Noss (2002[i i]) discuss the use of a computational microworld for developing mathematical knowledge in the case of randomness and probability; Gadanidis et al. (2018[i2j) propose an approach to engage young children with ideas of group theory, using a combination of hands-on and computational thinking tools. Hence, while mathematics education evolves in terms of the tools available and the potential ways to support students in exploring the powerful ideas of the discipline (Pei, Weintrop and Wilensky, 201</w:t>
      </w:r>
      <w:r>
        <w:rPr>
          <w:color w:val="000000"/>
          <w:spacing w:val="0"/>
          <w:w w:val="100"/>
          <w:position w:val="0"/>
        </w:rPr>
        <w:t xml:space="preserve">8[із;), </w:t>
      </w:r>
      <w:r>
        <w:rPr>
          <w:color w:val="000000"/>
          <w:spacing w:val="0"/>
          <w:w w:val="100"/>
          <w:position w:val="0"/>
        </w:rPr>
        <w:t>the thoughtful use of computational thinking tools and skill sets can deepen the learning of mathematics contents by creating effective learning conditions (Weintrop etal., 2016[i4j). Moreover, computational thinking tools offer students a context in which they can reify abstract constructs (by exploring and engaging with maths concepts in a dynamic way) (Wing 2008</w:t>
      </w:r>
      <w:r>
        <w:rPr>
          <w:color w:val="000000"/>
          <w:spacing w:val="0"/>
          <w:w w:val="100"/>
          <w:position w:val="0"/>
          <w:vertAlign w:val="superscript"/>
        </w:rPr>
        <w:footnoteReference w:id="5"/>
      </w:r>
      <w:r>
        <w:rPr>
          <w:color w:val="000000"/>
          <w:spacing w:val="0"/>
          <w:w w:val="100"/>
          <w:position w:val="0"/>
        </w:rPr>
        <w:t>), as well as express ideas in new ways and interact with concepts through media and new representational tools (Grover, 2018[isj; Niemela etal., 2017[i6i; Pei, Weintrop and Wilensky, 201</w:t>
      </w:r>
      <w:r>
        <w:rPr>
          <w:color w:val="000000"/>
          <w:spacing w:val="0"/>
          <w:w w:val="100"/>
          <w:position w:val="0"/>
        </w:rPr>
        <w:t xml:space="preserve">8[із]; </w:t>
      </w:r>
      <w:r>
        <w:rPr>
          <w:color w:val="000000"/>
          <w:spacing w:val="0"/>
          <w:w w:val="100"/>
          <w:position w:val="0"/>
        </w:rPr>
        <w:t xml:space="preserve">Resnick et al., </w:t>
      </w:r>
      <w:r>
        <w:rPr>
          <w:color w:val="000000"/>
          <w:spacing w:val="0"/>
          <w:w w:val="100"/>
          <w:position w:val="0"/>
        </w:rPr>
        <w:t>2009[і?]).</w:t>
      </w:r>
    </w:p>
    <w:p>
      <w:pPr>
        <w:pStyle w:val="Style25"/>
        <w:keepNext w:val="0"/>
        <w:keepLines w:val="0"/>
        <w:widowControl w:val="0"/>
        <w:shd w:val="clear" w:color="auto" w:fill="auto"/>
        <w:bidi w:val="0"/>
        <w:spacing w:before="0" w:after="200" w:line="262" w:lineRule="auto"/>
        <w:ind w:left="0" w:right="0" w:firstLine="0"/>
        <w:jc w:val="left"/>
        <w:rPr>
          <w:sz w:val="19"/>
          <w:szCs w:val="19"/>
        </w:rPr>
      </w:pPr>
      <w:r>
        <w:rPr>
          <w:b/>
          <w:bCs/>
          <w:color w:val="4F81BD"/>
          <w:spacing w:val="0"/>
          <w:w w:val="100"/>
          <w:position w:val="0"/>
          <w:sz w:val="19"/>
          <w:szCs w:val="19"/>
        </w:rPr>
        <w:t>A View of Mathematically Literate Individuals in PISA 2021</w:t>
      </w:r>
    </w:p>
    <w:p>
      <w:pPr>
        <w:pStyle w:val="Style25"/>
        <w:keepNext w:val="0"/>
        <w:keepLines w:val="0"/>
        <w:widowControl w:val="0"/>
        <w:numPr>
          <w:ilvl w:val="0"/>
          <w:numId w:val="1"/>
        </w:numPr>
        <w:shd w:val="clear" w:color="auto" w:fill="auto"/>
        <w:tabs>
          <w:tab w:pos="1283" w:val="left"/>
        </w:tabs>
        <w:bidi w:val="0"/>
        <w:spacing w:before="0" w:line="240" w:lineRule="auto"/>
        <w:ind w:left="640" w:right="0" w:firstLine="0"/>
        <w:jc w:val="both"/>
      </w:pPr>
      <w:bookmarkStart w:id="29" w:name="bookmark29"/>
      <w:bookmarkEnd w:id="29"/>
      <w:r>
        <w:rPr>
          <w:color w:val="000000"/>
          <w:spacing w:val="0"/>
          <w:w w:val="100"/>
          <w:position w:val="0"/>
        </w:rPr>
        <w:t>The focus of the language in the definition of mathematical literacy is on active engagement with mathematics to solve real-world problems in a variety of contexts, and is intended to encompass mathematical reasoning (both deductive and inductive) and problem solving using mathematical concepts, procedures, facts and tools to describe, explain and predict phenomena.</w:t>
      </w:r>
    </w:p>
    <w:p>
      <w:pPr>
        <w:pStyle w:val="Style25"/>
        <w:keepNext w:val="0"/>
        <w:keepLines w:val="0"/>
        <w:widowControl w:val="0"/>
        <w:numPr>
          <w:ilvl w:val="0"/>
          <w:numId w:val="1"/>
        </w:numPr>
        <w:shd w:val="clear" w:color="auto" w:fill="auto"/>
        <w:tabs>
          <w:tab w:pos="1283" w:val="left"/>
        </w:tabs>
        <w:bidi w:val="0"/>
        <w:spacing w:before="0" w:line="240" w:lineRule="auto"/>
        <w:ind w:left="640" w:right="0" w:firstLine="0"/>
        <w:jc w:val="both"/>
      </w:pPr>
      <w:bookmarkStart w:id="30" w:name="bookmark30"/>
      <w:bookmarkEnd w:id="30"/>
      <w:r>
        <w:rPr>
          <w:color w:val="000000"/>
          <w:spacing w:val="0"/>
          <w:w w:val="100"/>
          <w:position w:val="0"/>
        </w:rPr>
        <w:t>It is important to note that the definition of mathematical literacy not only focuses on the use of mathematics to solve real-world problems, but also identifies mathematical reasoning as a core aspect of being mathematically literate. The contribution that the PISA 2021 framework makes is to highlight the centrality of mathematical reasoning both to the problem solving cycle and to mathematical literacy in general.</w:t>
      </w:r>
    </w:p>
    <w:p>
      <w:pPr>
        <w:pStyle w:val="Style25"/>
        <w:keepNext w:val="0"/>
        <w:keepLines w:val="0"/>
        <w:widowControl w:val="0"/>
        <w:numPr>
          <w:ilvl w:val="0"/>
          <w:numId w:val="1"/>
        </w:numPr>
        <w:shd w:val="clear" w:color="auto" w:fill="auto"/>
        <w:tabs>
          <w:tab w:pos="1283" w:val="left"/>
        </w:tabs>
        <w:bidi w:val="0"/>
        <w:spacing w:before="0" w:after="200" w:line="240" w:lineRule="auto"/>
        <w:ind w:left="640" w:right="0" w:firstLine="0"/>
        <w:jc w:val="both"/>
      </w:pPr>
      <w:bookmarkStart w:id="31" w:name="bookmark31"/>
      <w:bookmarkEnd w:id="31"/>
      <w:r>
        <w:rPr>
          <w:b/>
          <w:bCs/>
          <w:i/>
          <w:iCs/>
          <w:color w:val="000000"/>
          <w:spacing w:val="0"/>
          <w:w w:val="100"/>
          <w:position w:val="0"/>
          <w:sz w:val="19"/>
          <w:szCs w:val="19"/>
        </w:rPr>
        <w:t>Figure 1</w:t>
      </w:r>
      <w:r>
        <w:rPr>
          <w:color w:val="000000"/>
          <w:spacing w:val="0"/>
          <w:w w:val="100"/>
          <w:position w:val="0"/>
        </w:rPr>
        <w:t xml:space="preserve"> depicts the relationship between mathematical reasoning (both deductive and inductive) and problem solving as reflected in the mathematical modelling cycle of both the PISA 2003 and PISA 2012 framework.</w:t>
      </w:r>
    </w:p>
    <w:p>
      <w:pPr>
        <w:framePr w:w="3470" w:h="3480" w:hSpace="1858" w:vSpace="677" w:wrap="notBeside" w:vAnchor="text" w:hAnchor="text" w:x="2612" w:y="678"/>
        <w:widowControl w:val="0"/>
        <w:rPr>
          <w:sz w:val="2"/>
          <w:szCs w:val="2"/>
        </w:rPr>
      </w:pPr>
      <w:r>
        <w:drawing>
          <wp:inline>
            <wp:extent cx="2206625" cy="221297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2206625" cy="2212975"/>
                    </a:xfrm>
                    <a:prstGeom prst="rect"/>
                  </pic:spPr>
                </pic:pic>
              </a:graphicData>
            </a:graphic>
          </wp:inline>
        </w:drawing>
      </w:r>
    </w:p>
    <w:p>
      <w:pPr>
        <w:widowControl w:val="0"/>
        <w:spacing w:line="1" w:lineRule="exact"/>
      </w:pPr>
      <w:r>
        <mc:AlternateContent>
          <mc:Choice Requires="wps">
            <w:drawing>
              <wp:anchor distT="0" distB="0" distL="417195" distR="417830" simplePos="0" relativeHeight="125829378" behindDoc="0" locked="0" layoutInCell="1" allowOverlap="1">
                <wp:simplePos x="0" y="0"/>
                <wp:positionH relativeFrom="column">
                  <wp:posOffset>417195</wp:posOffset>
                </wp:positionH>
                <wp:positionV relativeFrom="paragraph">
                  <wp:posOffset>0</wp:posOffset>
                </wp:positionV>
                <wp:extent cx="4624070" cy="286385"/>
                <wp:wrapTopAndBottom/>
                <wp:docPr id="2" name="Shape 2"/>
                <a:graphic xmlns:a="http://schemas.openxmlformats.org/drawingml/2006/main">
                  <a:graphicData uri="http://schemas.microsoft.com/office/word/2010/wordprocessingShape">
                    <wps:wsp>
                      <wps:cNvSpPr txBox="1"/>
                      <wps:spPr>
                        <a:xfrm>
                          <a:ext cx="4624070" cy="28638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center"/>
                            </w:pPr>
                            <w:r>
                              <w:rPr>
                                <w:color w:val="000000"/>
                                <w:spacing w:val="0"/>
                                <w:w w:val="100"/>
                                <w:position w:val="0"/>
                              </w:rPr>
                              <w:t>Figure 1. Mathematical literacy: the relationship between mathematical reasoning and the problem solving (modelling) cycle.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2.850000000000001pt;margin-top:0;width:364.10000000000002pt;height:22.550000000000001pt;z-index:-125829375;mso-wrap-distance-left:32.850000000000001pt;mso-wrap-distance-right:32.899999999999999pt" filled="f" stroked="f">
                <v:textbox inset="0,0,0,0">
                  <w:txbxContent>
                    <w:p>
                      <w:pPr>
                        <w:pStyle w:val="Style33"/>
                        <w:keepNext w:val="0"/>
                        <w:keepLines w:val="0"/>
                        <w:widowControl w:val="0"/>
                        <w:shd w:val="clear" w:color="auto" w:fill="auto"/>
                        <w:bidi w:val="0"/>
                        <w:spacing w:before="0" w:after="0" w:line="240" w:lineRule="auto"/>
                        <w:ind w:left="0" w:right="0" w:firstLine="0"/>
                        <w:jc w:val="center"/>
                      </w:pPr>
                      <w:r>
                        <w:rPr>
                          <w:color w:val="000000"/>
                          <w:spacing w:val="0"/>
                          <w:w w:val="100"/>
                          <w:position w:val="0"/>
                        </w:rPr>
                        <w:t>Figure 1. Mathematical literacy: the relationship between mathematical reasoning and the problem solving (modelling) cycle.</w:t>
                      </w:r>
                    </w:p>
                  </w:txbxContent>
                </v:textbox>
                <w10:wrap type="topAndBottom"/>
              </v:shape>
            </w:pict>
          </mc:Fallback>
        </mc:AlternateContent>
      </w:r>
      <w:r>
        <mc:AlternateContent>
          <mc:Choice Requires="wps">
            <w:drawing>
              <wp:anchor distT="0" distB="0" distL="417195" distR="4334510" simplePos="0" relativeHeight="125829380" behindDoc="0" locked="0" layoutInCell="1" allowOverlap="1">
                <wp:simplePos x="0" y="0"/>
                <wp:positionH relativeFrom="column">
                  <wp:posOffset>2840355</wp:posOffset>
                </wp:positionH>
                <wp:positionV relativeFrom="paragraph">
                  <wp:posOffset>661670</wp:posOffset>
                </wp:positionV>
                <wp:extent cx="707390" cy="353695"/>
                <wp:wrapTopAndBottom/>
                <wp:docPr id="4" name="Shape 4"/>
                <a:graphic xmlns:a="http://schemas.openxmlformats.org/drawingml/2006/main">
                  <a:graphicData uri="http://schemas.microsoft.com/office/word/2010/wordprocessingShape">
                    <wps:wsp>
                      <wps:cNvSpPr txBox="1"/>
                      <wps:spPr>
                        <a:xfrm>
                          <a:ext cx="707390" cy="353695"/>
                        </a:xfrm>
                        <a:prstGeom prst="rect"/>
                        <a:noFill/>
                      </wps:spPr>
                      <wps:txbx>
                        <w:txbxContent>
                          <w:p>
                            <w:pPr>
                              <w:pStyle w:val="Style33"/>
                              <w:keepNext w:val="0"/>
                              <w:keepLines w:val="0"/>
                              <w:widowControl w:val="0"/>
                              <w:shd w:val="clear" w:color="auto" w:fill="auto"/>
                              <w:bidi w:val="0"/>
                              <w:spacing w:before="0" w:after="0"/>
                              <w:ind w:left="0" w:right="0" w:firstLine="0"/>
                              <w:jc w:val="left"/>
                              <w:rPr>
                                <w:sz w:val="22"/>
                                <w:szCs w:val="22"/>
                              </w:rPr>
                            </w:pPr>
                            <w:r>
                              <w:rPr>
                                <w:b w:val="0"/>
                                <w:bCs w:val="0"/>
                                <w:color w:val="000000"/>
                                <w:spacing w:val="0"/>
                                <w:w w:val="100"/>
                                <w:position w:val="0"/>
                                <w:sz w:val="22"/>
                                <w:szCs w:val="22"/>
                              </w:rPr>
                              <w:t>Interpret</w:t>
                            </w:r>
                            <w:r>
                              <w:rPr>
                                <w:b w:val="0"/>
                                <w:bCs w:val="0"/>
                                <w:color w:val="000000"/>
                                <w:spacing w:val="0"/>
                                <w:w w:val="100"/>
                                <w:position w:val="0"/>
                                <w:sz w:val="22"/>
                                <w:szCs w:val="22"/>
                                <w:vertAlign w:val="superscript"/>
                              </w:rPr>
                              <w:t xml:space="preserve">4 </w:t>
                            </w:r>
                            <w:r>
                              <w:rPr>
                                <w:b w:val="0"/>
                                <w:bCs w:val="0"/>
                                <w:color w:val="000000"/>
                                <w:spacing w:val="0"/>
                                <w:w w:val="100"/>
                                <w:position w:val="0"/>
                                <w:sz w:val="22"/>
                                <w:szCs w:val="22"/>
                              </w:rPr>
                              <w:t>&amp; evaluate</w:t>
                            </w:r>
                          </w:p>
                        </w:txbxContent>
                      </wps:txbx>
                      <wps:bodyPr lIns="0" tIns="0" rIns="0" bIns="0">
                        <a:noAutoFit/>
                      </wps:bodyPr>
                    </wps:wsp>
                  </a:graphicData>
                </a:graphic>
              </wp:anchor>
            </w:drawing>
          </mc:Choice>
          <mc:Fallback>
            <w:pict>
              <v:shape id="_x0000_s1030" type="#_x0000_t202" style="position:absolute;margin-left:223.65000000000001pt;margin-top:52.100000000000001pt;width:55.700000000000003pt;height:27.850000000000001pt;z-index:-125829373;mso-wrap-distance-left:32.850000000000001pt;mso-wrap-distance-right:341.30000000000001pt" filled="f" stroked="f">
                <v:textbox inset="0,0,0,0">
                  <w:txbxContent>
                    <w:p>
                      <w:pPr>
                        <w:pStyle w:val="Style33"/>
                        <w:keepNext w:val="0"/>
                        <w:keepLines w:val="0"/>
                        <w:widowControl w:val="0"/>
                        <w:shd w:val="clear" w:color="auto" w:fill="auto"/>
                        <w:bidi w:val="0"/>
                        <w:spacing w:before="0" w:after="0"/>
                        <w:ind w:left="0" w:right="0" w:firstLine="0"/>
                        <w:jc w:val="left"/>
                        <w:rPr>
                          <w:sz w:val="22"/>
                          <w:szCs w:val="22"/>
                        </w:rPr>
                      </w:pPr>
                      <w:r>
                        <w:rPr>
                          <w:b w:val="0"/>
                          <w:bCs w:val="0"/>
                          <w:color w:val="000000"/>
                          <w:spacing w:val="0"/>
                          <w:w w:val="100"/>
                          <w:position w:val="0"/>
                          <w:sz w:val="22"/>
                          <w:szCs w:val="22"/>
                        </w:rPr>
                        <w:t>Interpret</w:t>
                      </w:r>
                      <w:r>
                        <w:rPr>
                          <w:b w:val="0"/>
                          <w:bCs w:val="0"/>
                          <w:color w:val="000000"/>
                          <w:spacing w:val="0"/>
                          <w:w w:val="100"/>
                          <w:position w:val="0"/>
                          <w:sz w:val="22"/>
                          <w:szCs w:val="22"/>
                          <w:vertAlign w:val="superscript"/>
                        </w:rPr>
                        <w:t xml:space="preserve">4 </w:t>
                      </w:r>
                      <w:r>
                        <w:rPr>
                          <w:b w:val="0"/>
                          <w:bCs w:val="0"/>
                          <w:color w:val="000000"/>
                          <w:spacing w:val="0"/>
                          <w:w w:val="100"/>
                          <w:position w:val="0"/>
                          <w:sz w:val="22"/>
                          <w:szCs w:val="22"/>
                        </w:rPr>
                        <w:t>&amp; evaluate</w:t>
                      </w:r>
                    </w:p>
                  </w:txbxContent>
                </v:textbox>
                <w10:wrap type="topAndBottom"/>
              </v:shape>
            </w:pict>
          </mc:Fallback>
        </mc:AlternateContent>
      </w:r>
      <w:r>
        <mc:AlternateContent>
          <mc:Choice Requires="wps">
            <w:drawing>
              <wp:anchor distT="0" distB="0" distL="417195" distR="4392930" simplePos="0" relativeHeight="125829382" behindDoc="0" locked="0" layoutInCell="1" allowOverlap="1">
                <wp:simplePos x="0" y="0"/>
                <wp:positionH relativeFrom="column">
                  <wp:posOffset>2740025</wp:posOffset>
                </wp:positionH>
                <wp:positionV relativeFrom="paragraph">
                  <wp:posOffset>2133600</wp:posOffset>
                </wp:positionV>
                <wp:extent cx="648970" cy="173990"/>
                <wp:wrapTopAndBottom/>
                <wp:docPr id="6" name="Shape 6"/>
                <a:graphic xmlns:a="http://schemas.openxmlformats.org/drawingml/2006/main">
                  <a:graphicData uri="http://schemas.microsoft.com/office/word/2010/wordprocessingShape">
                    <wps:wsp>
                      <wps:cNvSpPr txBox="1"/>
                      <wps:spPr>
                        <a:xfrm>
                          <a:ext cx="648970" cy="17399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22"/>
                                <w:szCs w:val="22"/>
                              </w:rPr>
                            </w:pPr>
                            <w:r>
                              <w:rPr>
                                <w:b w:val="0"/>
                                <w:bCs w:val="0"/>
                                <w:color w:val="000000"/>
                                <w:spacing w:val="0"/>
                                <w:w w:val="100"/>
                                <w:position w:val="0"/>
                                <w:sz w:val="22"/>
                                <w:szCs w:val="22"/>
                              </w:rPr>
                              <w:t>Formulate</w:t>
                            </w:r>
                          </w:p>
                        </w:txbxContent>
                      </wps:txbx>
                      <wps:bodyPr lIns="0" tIns="0" rIns="0" bIns="0">
                        <a:noAutoFit/>
                      </wps:bodyPr>
                    </wps:wsp>
                  </a:graphicData>
                </a:graphic>
              </wp:anchor>
            </w:drawing>
          </mc:Choice>
          <mc:Fallback>
            <w:pict>
              <v:shape id="_x0000_s1032" type="#_x0000_t202" style="position:absolute;margin-left:215.75pt;margin-top:168.pt;width:51.100000000000001pt;height:13.700000000000001pt;z-index:-125829371;mso-wrap-distance-left:32.850000000000001pt;mso-wrap-distance-right:345.90000000000003pt" filled="f" stroked="f">
                <v:textbox inset="0,0,0,0">
                  <w:txbxContent>
                    <w:p>
                      <w:pPr>
                        <w:pStyle w:val="Style33"/>
                        <w:keepNext w:val="0"/>
                        <w:keepLines w:val="0"/>
                        <w:widowControl w:val="0"/>
                        <w:shd w:val="clear" w:color="auto" w:fill="auto"/>
                        <w:bidi w:val="0"/>
                        <w:spacing w:before="0" w:after="0" w:line="240" w:lineRule="auto"/>
                        <w:ind w:left="0" w:right="0" w:firstLine="0"/>
                        <w:jc w:val="left"/>
                        <w:rPr>
                          <w:sz w:val="22"/>
                          <w:szCs w:val="22"/>
                        </w:rPr>
                      </w:pPr>
                      <w:r>
                        <w:rPr>
                          <w:b w:val="0"/>
                          <w:bCs w:val="0"/>
                          <w:color w:val="000000"/>
                          <w:spacing w:val="0"/>
                          <w:w w:val="100"/>
                          <w:position w:val="0"/>
                          <w:sz w:val="22"/>
                          <w:szCs w:val="22"/>
                        </w:rPr>
                        <w:t>Formulate</w:t>
                      </w:r>
                    </w:p>
                  </w:txbxContent>
                </v:textbox>
                <w10:wrap type="topAndBottom"/>
              </v:shape>
            </w:pict>
          </mc:Fallback>
        </mc:AlternateContent>
      </w:r>
    </w:p>
    <w:p>
      <w:pPr>
        <w:pStyle w:val="Style25"/>
        <w:keepNext w:val="0"/>
        <w:keepLines w:val="0"/>
        <w:widowControl w:val="0"/>
        <w:numPr>
          <w:ilvl w:val="0"/>
          <w:numId w:val="1"/>
        </w:numPr>
        <w:shd w:val="clear" w:color="auto" w:fill="auto"/>
        <w:tabs>
          <w:tab w:pos="1283" w:val="left"/>
        </w:tabs>
        <w:bidi w:val="0"/>
        <w:spacing w:before="0" w:after="100" w:line="240" w:lineRule="auto"/>
        <w:ind w:left="640" w:right="0" w:firstLine="0"/>
        <w:jc w:val="both"/>
      </w:pPr>
      <w:bookmarkStart w:id="32" w:name="bookmark32"/>
      <w:bookmarkEnd w:id="32"/>
      <w:r>
        <w:rPr>
          <w:color w:val="000000"/>
          <w:spacing w:val="0"/>
          <w:w w:val="100"/>
          <w:position w:val="0"/>
        </w:rPr>
        <w:t xml:space="preserve">In order for students to be mathematically literate they must be able, first to use their mathematics content knowledge to recognise the mathematical nature of a situation (problem) especially those situations encountered in the real world and then to formulate it in mathematical terms. This transformation - from an ambiguous, messy, real-world situation to a well-defined mathematics problem - requires mathematical reasoning. Once the transformation is successfully made, the resulting mathematical problem needs to be solved using the mathematics concepts, algorithms and procedures taught in schools. However, it may require the making of strategic decisions about the selection of those tools and the order of their application - this is also a manifestation of mathematical reasoning. Finally, the PISA definition reminds us of the need for the student to evaluate the mathematical solution by interpreting the results within the original real-world situation. Additionally, students should also possess and be able to demonstrate computational thinking skills as part of their problem-solving practice. These computational thinking skills which are applied in formulating, employing, evaluating and reasoning include pattern recognition, decomposition, determining which (if any) computing tools could be </w:t>
      </w:r>
      <w:r>
        <w:rPr>
          <w:color w:val="000000"/>
          <w:spacing w:val="0"/>
          <w:w w:val="100"/>
          <w:position w:val="0"/>
        </w:rPr>
        <w:t>employed in the analysing or solving the problem, and defining algorithms as part of a detailed solution.</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33" w:name="bookmark33"/>
      <w:bookmarkEnd w:id="33"/>
      <w:r>
        <w:rPr>
          <w:color w:val="000000"/>
          <w:spacing w:val="0"/>
          <w:w w:val="100"/>
          <w:position w:val="0"/>
        </w:rPr>
        <w:t>Although mathematical reasoning and solving real-world problems overlap, there is an aspect to mathematical reasoning which goes beyond solving practical problems. Mathematical reasoning is also a way of evaluating and making arguments, evaluating interpretations and inferences related to statements (e.g. in public policy debates etc.) and problem solutions that are, by their quantitative nature, best understood mathematically.</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34" w:name="bookmark34"/>
      <w:bookmarkEnd w:id="34"/>
      <w:r>
        <w:rPr>
          <w:color w:val="000000"/>
          <w:spacing w:val="0"/>
          <w:w w:val="100"/>
          <w:position w:val="0"/>
        </w:rPr>
        <w:t xml:space="preserve">Mathematical literacy therefore comprises two related aspects: </w:t>
      </w:r>
      <w:r>
        <w:rPr>
          <w:i/>
          <w:iCs/>
          <w:color w:val="000000"/>
          <w:spacing w:val="0"/>
          <w:w w:val="100"/>
          <w:position w:val="0"/>
        </w:rPr>
        <w:t>mathematical reasoning</w:t>
      </w:r>
      <w:r>
        <w:rPr>
          <w:color w:val="000000"/>
          <w:spacing w:val="0"/>
          <w:w w:val="100"/>
          <w:position w:val="0"/>
        </w:rPr>
        <w:t xml:space="preserve"> and </w:t>
      </w:r>
      <w:r>
        <w:rPr>
          <w:i/>
          <w:iCs/>
          <w:color w:val="000000"/>
          <w:spacing w:val="0"/>
          <w:w w:val="100"/>
          <w:position w:val="0"/>
        </w:rPr>
        <w:t>problem solving. Mathematical literacy</w:t>
      </w:r>
      <w:r>
        <w:rPr>
          <w:color w:val="000000"/>
          <w:spacing w:val="0"/>
          <w:w w:val="100"/>
          <w:position w:val="0"/>
        </w:rPr>
        <w:t xml:space="preserve"> plays an important role in being able to use mathematics to </w:t>
      </w:r>
      <w:r>
        <w:rPr>
          <w:i/>
          <w:iCs/>
          <w:color w:val="000000"/>
          <w:spacing w:val="0"/>
          <w:w w:val="100"/>
          <w:position w:val="0"/>
        </w:rPr>
        <w:t>solve real-worldproblems.</w:t>
      </w:r>
      <w:r>
        <w:rPr>
          <w:color w:val="000000"/>
          <w:spacing w:val="0"/>
          <w:w w:val="100"/>
          <w:position w:val="0"/>
        </w:rPr>
        <w:t xml:space="preserve"> In addition, mathematical reasoning (both deductive and inductive) also goes beyond solving real-world problems to include the making of informed judgements about that important family of societal issues which can be addressed mathematically. It also includes making judgements about the validity of information that bombards individuals by means of considering their quantitative and logical, implications. It is here where mathematical reasoning also contributes to the development of a select set of 21</w:t>
      </w:r>
      <w:r>
        <w:rPr>
          <w:color w:val="000000"/>
          <w:spacing w:val="0"/>
          <w:w w:val="100"/>
          <w:position w:val="0"/>
          <w:vertAlign w:val="superscript"/>
        </w:rPr>
        <w:t>st</w:t>
      </w:r>
      <w:r>
        <w:rPr>
          <w:color w:val="000000"/>
          <w:spacing w:val="0"/>
          <w:w w:val="100"/>
          <w:position w:val="0"/>
        </w:rPr>
        <w:t xml:space="preserve"> century skills (discussed elsewhere in the framework).</w:t>
      </w:r>
    </w:p>
    <w:p>
      <w:pPr>
        <w:pStyle w:val="Style25"/>
        <w:keepNext w:val="0"/>
        <w:keepLines w:val="0"/>
        <w:widowControl w:val="0"/>
        <w:numPr>
          <w:ilvl w:val="0"/>
          <w:numId w:val="1"/>
        </w:numPr>
        <w:shd w:val="clear" w:color="auto" w:fill="auto"/>
        <w:tabs>
          <w:tab w:pos="1282" w:val="left"/>
        </w:tabs>
        <w:bidi w:val="0"/>
        <w:spacing w:before="0" w:after="100" w:line="240" w:lineRule="auto"/>
        <w:ind w:left="640" w:right="0" w:firstLine="0"/>
        <w:jc w:val="both"/>
      </w:pPr>
      <w:bookmarkStart w:id="35" w:name="bookmark35"/>
      <w:bookmarkEnd w:id="35"/>
      <w:r>
        <w:rPr>
          <w:color w:val="000000"/>
          <w:spacing w:val="0"/>
          <w:w w:val="100"/>
          <w:position w:val="0"/>
        </w:rPr>
        <w:t>The outer circle of Figure 2 shows that mathematical literacy takes place in the context of a challenge or problem that arises in the real world.</w:t>
      </w:r>
      <w:r>
        <w:br w:type="page"/>
      </w:r>
    </w:p>
    <w:p>
      <w:pPr>
        <w:pStyle w:val="Style33"/>
        <w:keepNext w:val="0"/>
        <w:keepLines w:val="0"/>
        <w:widowControl w:val="0"/>
        <w:shd w:val="clear" w:color="auto" w:fill="auto"/>
        <w:bidi w:val="0"/>
        <w:spacing w:before="0" w:after="0"/>
        <w:ind w:left="0" w:right="0" w:firstLine="0"/>
        <w:jc w:val="center"/>
      </w:pPr>
      <w:r>
        <w:rPr>
          <w:color w:val="000000"/>
          <w:spacing w:val="0"/>
          <w:w w:val="100"/>
          <w:position w:val="0"/>
        </w:rPr>
        <w:t>Figure 2. PISA 2021: the relationship between mathematical reasoning, the problem solving (modelling) cycle, mathematical contents, context and selected 21century skills.</w:t>
      </w:r>
    </w:p>
    <w:p>
      <w:pPr>
        <w:widowControl w:val="0"/>
        <w:jc w:val="center"/>
        <w:rPr>
          <w:sz w:val="2"/>
          <w:szCs w:val="2"/>
        </w:rPr>
      </w:pPr>
      <w:r>
        <w:drawing>
          <wp:inline>
            <wp:extent cx="3895090" cy="396875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pic:blipFill>
                  <pic:spPr>
                    <a:xfrm>
                      <a:ext cx="3895090" cy="3968750"/>
                    </a:xfrm>
                    <a:prstGeom prst="rect"/>
                  </pic:spPr>
                </pic:pic>
              </a:graphicData>
            </a:graphic>
          </wp:inline>
        </w:drawing>
      </w:r>
    </w:p>
    <w:p>
      <w:pPr>
        <w:widowControl w:val="0"/>
        <w:spacing w:after="319" w:line="1" w:lineRule="exact"/>
      </w:pPr>
    </w:p>
    <w:p>
      <w:pPr>
        <w:pStyle w:val="Style25"/>
        <w:keepNext w:val="0"/>
        <w:keepLines w:val="0"/>
        <w:widowControl w:val="0"/>
        <w:numPr>
          <w:ilvl w:val="0"/>
          <w:numId w:val="1"/>
        </w:numPr>
        <w:shd w:val="clear" w:color="auto" w:fill="auto"/>
        <w:tabs>
          <w:tab w:pos="1281" w:val="left"/>
        </w:tabs>
        <w:bidi w:val="0"/>
        <w:spacing w:before="0" w:after="100" w:line="264" w:lineRule="auto"/>
        <w:ind w:left="640" w:right="0" w:firstLine="0"/>
        <w:jc w:val="both"/>
        <w:rPr>
          <w:sz w:val="19"/>
          <w:szCs w:val="19"/>
        </w:rPr>
      </w:pPr>
      <w:bookmarkStart w:id="36" w:name="bookmark36"/>
      <w:bookmarkEnd w:id="36"/>
      <w:r>
        <w:rPr>
          <w:b/>
          <w:bCs/>
          <w:color w:val="000000"/>
          <w:spacing w:val="0"/>
          <w:w w:val="100"/>
          <w:position w:val="0"/>
          <w:sz w:val="19"/>
          <w:szCs w:val="19"/>
        </w:rPr>
        <w:t>Figure 2 also depicts the relationship between mathematical literacy as depicted in Figure 1 and: the mathematical contents domains in which mathematical literacy is applied; the problem contexts and the selected 21</w:t>
      </w:r>
      <w:r>
        <w:rPr>
          <w:b/>
          <w:bCs/>
          <w:color w:val="000000"/>
          <w:spacing w:val="0"/>
          <w:w w:val="100"/>
          <w:position w:val="0"/>
          <w:sz w:val="19"/>
          <w:szCs w:val="19"/>
          <w:vertAlign w:val="superscript"/>
        </w:rPr>
        <w:t>st</w:t>
      </w:r>
      <w:r>
        <w:rPr>
          <w:b/>
          <w:bCs/>
          <w:color w:val="000000"/>
          <w:spacing w:val="0"/>
          <w:w w:val="100"/>
          <w:position w:val="0"/>
          <w:sz w:val="19"/>
          <w:szCs w:val="19"/>
        </w:rPr>
        <w:t xml:space="preserve"> century skills that are both supportive of and developed through mathematical literacy.</w:t>
      </w:r>
    </w:p>
    <w:p>
      <w:pPr>
        <w:pStyle w:val="Style25"/>
        <w:keepNext w:val="0"/>
        <w:keepLines w:val="0"/>
        <w:widowControl w:val="0"/>
        <w:numPr>
          <w:ilvl w:val="0"/>
          <w:numId w:val="1"/>
        </w:numPr>
        <w:shd w:val="clear" w:color="auto" w:fill="auto"/>
        <w:tabs>
          <w:tab w:pos="1281" w:val="left"/>
        </w:tabs>
        <w:bidi w:val="0"/>
        <w:spacing w:before="0" w:after="100" w:line="262" w:lineRule="auto"/>
        <w:ind w:left="640" w:right="0" w:firstLine="0"/>
        <w:jc w:val="both"/>
        <w:rPr>
          <w:sz w:val="19"/>
          <w:szCs w:val="19"/>
        </w:rPr>
      </w:pPr>
      <w:bookmarkStart w:id="37" w:name="bookmark37"/>
      <w:bookmarkEnd w:id="37"/>
      <w:r>
        <w:rPr>
          <w:b/>
          <w:bCs/>
          <w:color w:val="000000"/>
          <w:spacing w:val="0"/>
          <w:w w:val="100"/>
          <w:position w:val="0"/>
          <w:sz w:val="19"/>
          <w:szCs w:val="19"/>
        </w:rPr>
        <w:t>These categories of mathematics content include: quantity, uncertainty and data, change and relationships, and space and shape. It is these categories of mathematics content knowledge which students must draw on to reason, to formulate the problem (by transforming the real world situation into a mathematical problem situation), to solve the mathematical problem once formulated, and to interpret and evaluate the solution determined.</w:t>
      </w:r>
    </w:p>
    <w:p>
      <w:pPr>
        <w:pStyle w:val="Style25"/>
        <w:keepNext w:val="0"/>
        <w:keepLines w:val="0"/>
        <w:widowControl w:val="0"/>
        <w:numPr>
          <w:ilvl w:val="0"/>
          <w:numId w:val="1"/>
        </w:numPr>
        <w:shd w:val="clear" w:color="auto" w:fill="auto"/>
        <w:tabs>
          <w:tab w:pos="1281" w:val="left"/>
        </w:tabs>
        <w:bidi w:val="0"/>
        <w:spacing w:before="0" w:after="220" w:line="262" w:lineRule="auto"/>
        <w:ind w:left="640" w:right="0" w:firstLine="0"/>
        <w:jc w:val="both"/>
        <w:rPr>
          <w:sz w:val="19"/>
          <w:szCs w:val="19"/>
        </w:rPr>
      </w:pPr>
      <w:bookmarkStart w:id="38" w:name="bookmark38"/>
      <w:bookmarkEnd w:id="38"/>
      <w:r>
        <w:rPr>
          <w:b/>
          <w:bCs/>
          <w:color w:val="000000"/>
          <w:spacing w:val="0"/>
          <w:w w:val="100"/>
          <w:position w:val="0"/>
          <w:sz w:val="19"/>
          <w:szCs w:val="19"/>
        </w:rPr>
        <w:t>As in the previous frameworks, the four context areas that PISA continues to use to define real-world situations are personal, occupational, societal and scientific. The context may be of a personal nature, involving problems or challenges that might confront an individual or one’s family or peer group. The problem might instead be set in a societal context (focusing on one’s community - whether it be local, national or global), an occupational context (centred on the world of work), or a scientific context (relating to the application of mathematics to the natural and technological world).</w:t>
      </w:r>
    </w:p>
    <w:p>
      <w:pPr>
        <w:pStyle w:val="Style25"/>
        <w:keepNext w:val="0"/>
        <w:keepLines w:val="0"/>
        <w:widowControl w:val="0"/>
        <w:numPr>
          <w:ilvl w:val="0"/>
          <w:numId w:val="1"/>
        </w:numPr>
        <w:shd w:val="clear" w:color="auto" w:fill="auto"/>
        <w:tabs>
          <w:tab w:pos="1284" w:val="left"/>
        </w:tabs>
        <w:bidi w:val="0"/>
        <w:spacing w:before="0" w:line="240" w:lineRule="auto"/>
        <w:ind w:left="640" w:right="0" w:firstLine="0"/>
        <w:jc w:val="both"/>
      </w:pPr>
      <w:bookmarkStart w:id="39" w:name="bookmark39"/>
      <w:bookmarkEnd w:id="39"/>
      <w:r>
        <w:rPr>
          <w:color w:val="000000"/>
          <w:spacing w:val="0"/>
          <w:w w:val="100"/>
          <w:position w:val="0"/>
        </w:rPr>
        <w:t>Included for the first time in the PISA 2021 framework (and depicted in Figure 2) are selected 21</w:t>
      </w:r>
      <w:r>
        <w:rPr>
          <w:color w:val="000000"/>
          <w:spacing w:val="0"/>
          <w:w w:val="100"/>
          <w:position w:val="0"/>
          <w:vertAlign w:val="superscript"/>
        </w:rPr>
        <w:t>st</w:t>
      </w:r>
      <w:r>
        <w:rPr>
          <w:color w:val="000000"/>
          <w:spacing w:val="0"/>
          <w:w w:val="100"/>
          <w:position w:val="0"/>
        </w:rPr>
        <w:t xml:space="preserve"> century skills that mathematical literacy both relies on and develops. 21</w:t>
      </w:r>
      <w:r>
        <w:rPr>
          <w:color w:val="000000"/>
          <w:spacing w:val="0"/>
          <w:w w:val="100"/>
          <w:position w:val="0"/>
          <w:vertAlign w:val="superscript"/>
        </w:rPr>
        <w:t>st</w:t>
      </w:r>
      <w:r>
        <w:rPr>
          <w:color w:val="000000"/>
          <w:spacing w:val="0"/>
          <w:w w:val="100"/>
          <w:position w:val="0"/>
        </w:rPr>
        <w:t xml:space="preserve"> century skills are discussed in greater detail in the next section of this framework. For now, it should be stressed that while contexts (personal, societal, occupational and scientific) influence the development of test items, there is no expectation that items will be deliberately developed to incorporate or address 21</w:t>
      </w:r>
      <w:r>
        <w:rPr>
          <w:color w:val="000000"/>
          <w:spacing w:val="0"/>
          <w:w w:val="100"/>
          <w:position w:val="0"/>
          <w:vertAlign w:val="superscript"/>
        </w:rPr>
        <w:t>st</w:t>
      </w:r>
      <w:r>
        <w:rPr>
          <w:color w:val="000000"/>
          <w:spacing w:val="0"/>
          <w:w w:val="100"/>
          <w:position w:val="0"/>
        </w:rPr>
        <w:t xml:space="preserve"> century skills. Instead, the expectation is that by responding to the spirit of the framework and in line with the definition of mathematical literacy, the 21</w:t>
      </w:r>
      <w:r>
        <w:rPr>
          <w:color w:val="000000"/>
          <w:spacing w:val="0"/>
          <w:w w:val="100"/>
          <w:position w:val="0"/>
          <w:vertAlign w:val="superscript"/>
        </w:rPr>
        <w:t>st</w:t>
      </w:r>
      <w:r>
        <w:rPr>
          <w:color w:val="000000"/>
          <w:spacing w:val="0"/>
          <w:w w:val="100"/>
          <w:position w:val="0"/>
        </w:rPr>
        <w:t xml:space="preserve"> century skills that have been identified will be incorporated in the items.</w:t>
      </w:r>
    </w:p>
    <w:p>
      <w:pPr>
        <w:pStyle w:val="Style25"/>
        <w:keepNext w:val="0"/>
        <w:keepLines w:val="0"/>
        <w:widowControl w:val="0"/>
        <w:numPr>
          <w:ilvl w:val="0"/>
          <w:numId w:val="1"/>
        </w:numPr>
        <w:shd w:val="clear" w:color="auto" w:fill="auto"/>
        <w:tabs>
          <w:tab w:pos="1284" w:val="left"/>
        </w:tabs>
        <w:bidi w:val="0"/>
        <w:spacing w:before="0" w:line="240" w:lineRule="auto"/>
        <w:ind w:left="640" w:right="0" w:firstLine="0"/>
        <w:jc w:val="both"/>
      </w:pPr>
      <w:bookmarkStart w:id="40" w:name="bookmark40"/>
      <w:bookmarkEnd w:id="40"/>
      <w:r>
        <w:rPr>
          <w:color w:val="000000"/>
          <w:spacing w:val="0"/>
          <w:w w:val="100"/>
          <w:position w:val="0"/>
        </w:rPr>
        <w:t>The language of the definition and the representation in Figure 1 and Figure 2 retain and integrate the notion of mathematical modelling, which has historically been a cornerstone of the PISA framework for mathematics e.g. (OECD, 2004[6j; OECD, 2013[7]). The modelling cycle (formulate, employ, interpret and evaluate) is a central aspect of the PISA conception of mathematically literate students; however, it is often not necessary to engage in every stage of the modelling cycle, especially in the context of an assessment (Galbraith, Henn and Niss, 2007[i8]). It is often the case that significant parts of the mathematical modelling cycle have been undertaken by others, and the end user carries out some of the steps of the modelling cycle, but not all of them. For example, in some cases, mathematical representations, such as graphs or equations, are given that can be directly manipulated in order to answer some question or to draw some conclusion. In other cases, students may be using a computer simulation to explore the impact of variable change in a system or environment. For this reason, many PISA items involve only parts of the modelling cycle. In reality, the problem solver may also sometimes oscillate between the processes, returning to revisit earlier decisions and assumptions. Each of the processes may present considerable challenges, and several iterations around the whole cycle may be required.</w:t>
      </w:r>
    </w:p>
    <w:p>
      <w:pPr>
        <w:pStyle w:val="Style25"/>
        <w:keepNext w:val="0"/>
        <w:keepLines w:val="0"/>
        <w:widowControl w:val="0"/>
        <w:numPr>
          <w:ilvl w:val="0"/>
          <w:numId w:val="1"/>
        </w:numPr>
        <w:shd w:val="clear" w:color="auto" w:fill="auto"/>
        <w:tabs>
          <w:tab w:pos="1284" w:val="left"/>
        </w:tabs>
        <w:bidi w:val="0"/>
        <w:spacing w:before="0" w:line="240" w:lineRule="auto"/>
        <w:ind w:left="640" w:right="0" w:firstLine="0"/>
        <w:jc w:val="both"/>
      </w:pPr>
      <w:bookmarkStart w:id="41" w:name="bookmark41"/>
      <w:bookmarkEnd w:id="41"/>
      <w:r>
        <w:rPr>
          <w:color w:val="000000"/>
          <w:spacing w:val="0"/>
          <w:w w:val="100"/>
          <w:position w:val="0"/>
        </w:rPr>
        <w:t>In particular, the verbs ‘formulate’, ‘employ’ and ‘interpret’ point to the three processes in which students as active problem solvers will engage. Formulating situations mathematically involves applying mathematical reasoning (both deductive and inductive) in identifying opportunities to apply and use mathematics - seeing that mathematics can be applied to understand or resolve a particular problem or challenge presented. It includes being able to take a situation as presented and transform it into a form amenable to mathematical treatment, providing mathematical structure and representations, identifying variables and making simplifying assumptions to help solve the problem or meet the challenge. Employing mathematics involves applying mathematical reasoning while using mathematical concepts, procedures, facts and tools to derive a mathematical solution. It includes performing calculations, manipulating algebraic expressions and equations or other mathematical models, analysing information in a mathematical manner from mathematical diagrams and graphs, developing mathematical descriptions and explanations and using mathematical tools to solve problems. Interpreting mathematics involves reflecting upon mathematical solutions or results and interpreting them in the context of a problem or challenge. It involves applying mathematical reasoning to evaluate mathematical solutions in relation to the context of the problem and determining whether the results are reasonable and make sense in the situation; determining also what to highlight when explaining the solution.</w:t>
      </w:r>
    </w:p>
    <w:p>
      <w:pPr>
        <w:pStyle w:val="Style25"/>
        <w:keepNext w:val="0"/>
        <w:keepLines w:val="0"/>
        <w:widowControl w:val="0"/>
        <w:numPr>
          <w:ilvl w:val="0"/>
          <w:numId w:val="1"/>
        </w:numPr>
        <w:shd w:val="clear" w:color="auto" w:fill="auto"/>
        <w:tabs>
          <w:tab w:pos="1284" w:val="left"/>
        </w:tabs>
        <w:bidi w:val="0"/>
        <w:spacing w:before="0" w:after="240" w:line="240" w:lineRule="auto"/>
        <w:ind w:left="640" w:right="0" w:firstLine="0"/>
        <w:jc w:val="both"/>
      </w:pPr>
      <w:bookmarkStart w:id="42" w:name="bookmark42"/>
      <w:bookmarkEnd w:id="42"/>
      <w:r>
        <w:rPr>
          <w:color w:val="000000"/>
          <w:spacing w:val="0"/>
          <w:w w:val="100"/>
          <w:position w:val="0"/>
        </w:rPr>
        <w:t xml:space="preserve">Included for the first time in the PISA 2021 framework is an appreciation of the intersection between mathematical and computational thinking engendering a similar set of perspectives, thought processes and mental models that learners need to succeed in an increasingly technological world. A set of constituent practices positioned </w:t>
      </w:r>
      <w:r>
        <w:rPr>
          <w:color w:val="000000"/>
          <w:spacing w:val="0"/>
          <w:w w:val="100"/>
          <w:position w:val="0"/>
        </w:rPr>
        <w:t xml:space="preserve">under the computational thinking umbrella (namely abstraction, algorithmic thinking, automation, decomposition and generalisation) are also central to both mathematical reasoning and problem solving processes. The nature of computational thinking within mathematics is conceptualised as defining and elaborating mathematical knowledge that can be expressed by programming, allowing students to dynamically model mathematical concepts and relationships. A taxonomy of computational thinking practices geared specifically towards mathematics and science learning entails data practices, modelling and simulation practices, computational problem solving practices, and systems thinking practices (Weintrop et al., 2016[i4]). The combination of mathematical and computational thinking not only becomes essential to effectively support the development of students’ conceptual understanding of the mathematical domain, but also to develop their computational thinking concepts and skills, giving learners a more realistic view of how mathematics is practiced in the professional world and used in the real-world and, in turn, better prepares them for pursuing careers in related fields (Basu etal., 2016[i9i; Benton et al., 201 </w:t>
      </w:r>
      <w:r>
        <w:rPr>
          <w:rFonts w:ascii="Arial" w:eastAsia="Arial" w:hAnsi="Arial" w:cs="Arial"/>
          <w:smallCaps/>
          <w:color w:val="000000"/>
          <w:spacing w:val="0"/>
          <w:w w:val="100"/>
          <w:position w:val="0"/>
          <w:sz w:val="18"/>
          <w:szCs w:val="18"/>
        </w:rPr>
        <w:t>7[2oj;</w:t>
      </w:r>
      <w:r>
        <w:rPr>
          <w:color w:val="000000"/>
          <w:spacing w:val="0"/>
          <w:w w:val="100"/>
          <w:position w:val="0"/>
        </w:rPr>
        <w:t xml:space="preserve"> Pei, Weintrop and Wilensky, 2018[i3j; Beheshti et al., 2017[2i]).</w:t>
      </w:r>
    </w:p>
    <w:p>
      <w:pPr>
        <w:pStyle w:val="Style25"/>
        <w:keepNext w:val="0"/>
        <w:keepLines w:val="0"/>
        <w:widowControl w:val="0"/>
        <w:shd w:val="clear" w:color="auto" w:fill="auto"/>
        <w:bidi w:val="0"/>
        <w:spacing w:before="0" w:after="200" w:line="262" w:lineRule="auto"/>
        <w:ind w:left="0" w:right="0" w:firstLine="0"/>
        <w:jc w:val="left"/>
        <w:rPr>
          <w:sz w:val="19"/>
          <w:szCs w:val="19"/>
        </w:rPr>
      </w:pPr>
      <w:r>
        <w:rPr>
          <w:b/>
          <w:bCs/>
          <w:color w:val="4F81BD"/>
          <w:spacing w:val="0"/>
          <w:w w:val="100"/>
          <w:position w:val="0"/>
          <w:sz w:val="19"/>
          <w:szCs w:val="19"/>
        </w:rPr>
        <w:t>An Explicit Link to a Variety of Contexts for Problems in PISA 2021</w:t>
      </w:r>
    </w:p>
    <w:p>
      <w:pPr>
        <w:pStyle w:val="Style25"/>
        <w:keepNext w:val="0"/>
        <w:keepLines w:val="0"/>
        <w:widowControl w:val="0"/>
        <w:numPr>
          <w:ilvl w:val="0"/>
          <w:numId w:val="1"/>
        </w:numPr>
        <w:shd w:val="clear" w:color="auto" w:fill="auto"/>
        <w:tabs>
          <w:tab w:pos="1288" w:val="left"/>
        </w:tabs>
        <w:bidi w:val="0"/>
        <w:spacing w:before="0" w:after="240" w:line="240" w:lineRule="auto"/>
        <w:ind w:left="640" w:right="0" w:firstLine="0"/>
        <w:jc w:val="both"/>
      </w:pPr>
      <w:bookmarkStart w:id="43" w:name="bookmark43"/>
      <w:bookmarkEnd w:id="43"/>
      <w:r>
        <w:rPr>
          <w:color w:val="000000"/>
          <w:spacing w:val="0"/>
          <w:w w:val="100"/>
          <w:position w:val="0"/>
        </w:rPr>
        <w:t>The reference to ‘a variety of real-world contexts’ in the definition of mathematical literacy recognises that the 21</w:t>
      </w:r>
      <w:r>
        <w:rPr>
          <w:color w:val="000000"/>
          <w:spacing w:val="0"/>
          <w:w w:val="100"/>
          <w:position w:val="0"/>
          <w:vertAlign w:val="superscript"/>
        </w:rPr>
        <w:t>st</w:t>
      </w:r>
      <w:r>
        <w:rPr>
          <w:color w:val="000000"/>
          <w:spacing w:val="0"/>
          <w:w w:val="100"/>
          <w:position w:val="0"/>
        </w:rPr>
        <w:t xml:space="preserve"> century citizen is a consumer of quantitative, sometimes statistical, arguments. The reference is intended as a way to link to the specific contexts that are described and exemplified more fully later in this framework. The specific contexts themselves are not so important, but the four categories selected for use here (personal, occupational, societal and scientific) reflect a wide range of situations in which individuals may meet mathematical opportunities. The definition also acknowledges that mathematical literacy helps individuals to recognise the role that mathematics plays in the world and to make the kinds of well-founded judgments and decisions required of constructive, engaged and reflective citizens faced with messages and arguments of the form: "a study found that on average...", "a survey shows a big drop in....", “certain scientists claim that population growth will outpace food production in</w:t>
      </w:r>
      <w:r>
        <w:rPr>
          <w:i/>
          <w:iCs/>
          <w:color w:val="000000"/>
          <w:spacing w:val="0"/>
          <w:w w:val="100"/>
          <w:position w:val="0"/>
        </w:rPr>
        <w:t>x</w:t>
      </w:r>
      <w:r>
        <w:rPr>
          <w:color w:val="000000"/>
          <w:spacing w:val="0"/>
          <w:w w:val="100"/>
          <w:position w:val="0"/>
        </w:rPr>
        <w:t xml:space="preserve"> years ...” etc.</w:t>
      </w:r>
    </w:p>
    <w:p>
      <w:pPr>
        <w:pStyle w:val="Style25"/>
        <w:keepNext w:val="0"/>
        <w:keepLines w:val="0"/>
        <w:widowControl w:val="0"/>
        <w:shd w:val="clear" w:color="auto" w:fill="auto"/>
        <w:bidi w:val="0"/>
        <w:spacing w:before="0" w:after="200" w:line="262" w:lineRule="auto"/>
        <w:ind w:left="0" w:right="0" w:firstLine="0"/>
        <w:jc w:val="left"/>
        <w:rPr>
          <w:sz w:val="19"/>
          <w:szCs w:val="19"/>
        </w:rPr>
      </w:pPr>
      <w:r>
        <w:rPr>
          <w:b/>
          <w:bCs/>
          <w:color w:val="4F81BD"/>
          <w:spacing w:val="0"/>
          <w:w w:val="100"/>
          <w:position w:val="0"/>
          <w:sz w:val="19"/>
          <w:szCs w:val="19"/>
        </w:rPr>
        <w:t>A Visible Role for Mathematical Tools, including Technology in PISA 2021</w:t>
      </w:r>
    </w:p>
    <w:p>
      <w:pPr>
        <w:pStyle w:val="Style25"/>
        <w:keepNext w:val="0"/>
        <w:keepLines w:val="0"/>
        <w:widowControl w:val="0"/>
        <w:numPr>
          <w:ilvl w:val="0"/>
          <w:numId w:val="1"/>
        </w:numPr>
        <w:shd w:val="clear" w:color="auto" w:fill="auto"/>
        <w:tabs>
          <w:tab w:pos="1288" w:val="left"/>
        </w:tabs>
        <w:bidi w:val="0"/>
        <w:spacing w:before="0" w:after="100" w:line="240" w:lineRule="auto"/>
        <w:ind w:left="640" w:right="0" w:firstLine="0"/>
        <w:jc w:val="both"/>
      </w:pPr>
      <w:bookmarkStart w:id="44" w:name="bookmark44"/>
      <w:bookmarkEnd w:id="44"/>
      <w:r>
        <w:rPr>
          <w:color w:val="000000"/>
          <w:spacing w:val="0"/>
          <w:w w:val="100"/>
          <w:position w:val="0"/>
        </w:rPr>
        <w:t>The definition of mathematical literacy explicitly includes the use of mathematical tools. These tools include a variety of physical and digital equipment, software and calculation devices. Computer-based mathematical tools are in common use in workplaces of the 21</w:t>
      </w:r>
      <w:r>
        <w:rPr>
          <w:color w:val="000000"/>
          <w:spacing w:val="0"/>
          <w:w w:val="100"/>
          <w:position w:val="0"/>
          <w:vertAlign w:val="superscript"/>
        </w:rPr>
        <w:t>st</w:t>
      </w:r>
      <w:r>
        <w:rPr>
          <w:color w:val="000000"/>
          <w:spacing w:val="0"/>
          <w:w w:val="100"/>
          <w:position w:val="0"/>
        </w:rPr>
        <w:t xml:space="preserve"> century, and will be increasingly more prevalent as the century progresses both in the workplace and in society generally. The nature of day-to-day and work-related problems and the demands on individuals to be able to employ mathematical reasoning (both deductive and inductive) in situations where computational tools are present has expanded with these new opportunities - creating enhanced expectations for mathematical literacy.</w:t>
      </w:r>
    </w:p>
    <w:p>
      <w:pPr>
        <w:pStyle w:val="Style25"/>
        <w:keepNext w:val="0"/>
        <w:keepLines w:val="0"/>
        <w:widowControl w:val="0"/>
        <w:numPr>
          <w:ilvl w:val="0"/>
          <w:numId w:val="1"/>
        </w:numPr>
        <w:shd w:val="clear" w:color="auto" w:fill="auto"/>
        <w:tabs>
          <w:tab w:pos="1288" w:val="left"/>
        </w:tabs>
        <w:bidi w:val="0"/>
        <w:spacing w:before="0" w:after="100" w:line="240" w:lineRule="auto"/>
        <w:ind w:left="640" w:right="0" w:firstLine="0"/>
        <w:jc w:val="both"/>
      </w:pPr>
      <w:bookmarkStart w:id="45" w:name="bookmark45"/>
      <w:bookmarkEnd w:id="45"/>
      <w:r>
        <w:rPr>
          <w:color w:val="000000"/>
          <w:spacing w:val="0"/>
          <w:w w:val="100"/>
          <w:position w:val="0"/>
        </w:rPr>
        <w:t>Since the 2015 cycle, computer-based assessment (CBA) has been the primary mode of testing, although an equivalent paper-based instrument is available for those countries who chose not to test their students by computer. The 2015 and 2018 mathematical literacy assessments did not exploit the opportunities that the computer provides.</w:t>
      </w:r>
    </w:p>
    <w:p>
      <w:pPr>
        <w:pStyle w:val="Style25"/>
        <w:keepNext w:val="0"/>
        <w:keepLines w:val="0"/>
        <w:widowControl w:val="0"/>
        <w:numPr>
          <w:ilvl w:val="0"/>
          <w:numId w:val="1"/>
        </w:numPr>
        <w:shd w:val="clear" w:color="auto" w:fill="auto"/>
        <w:tabs>
          <w:tab w:pos="1288" w:val="left"/>
        </w:tabs>
        <w:bidi w:val="0"/>
        <w:spacing w:before="0" w:after="0" w:line="240" w:lineRule="auto"/>
        <w:ind w:left="640" w:right="0" w:firstLine="0"/>
        <w:jc w:val="both"/>
      </w:pPr>
      <w:bookmarkStart w:id="46" w:name="bookmark46"/>
      <w:bookmarkEnd w:id="46"/>
      <w:r>
        <w:rPr>
          <w:color w:val="000000"/>
          <w:spacing w:val="0"/>
          <w:w w:val="100"/>
          <w:position w:val="0"/>
        </w:rPr>
        <w:t xml:space="preserve">Computer-Based Assessment of Mathematics (CBAM) will be the format of the mathematical literacy from 2021. Although the option of a paper based assessment </w:t>
      </w:r>
      <w:r>
        <w:rPr>
          <w:color w:val="000000"/>
          <w:spacing w:val="0"/>
          <w:w w:val="100"/>
          <w:position w:val="0"/>
        </w:rPr>
        <w:t>will remain for countries who want to continue in that way, the CBAM will exploit the opportunities of the CBAM. The opportunities that this transition creates are discussed in greater detail later in the framework.</w:t>
      </w:r>
    </w:p>
    <w:sectPr>
      <w:headerReference w:type="default" r:id="rId9"/>
      <w:footerReference w:type="default" r:id="rId10"/>
      <w:headerReference w:type="even" r:id="rId11"/>
      <w:footerReference w:type="even" r:id="rId12"/>
      <w:headerReference w:type="first" r:id="rId13"/>
      <w:footerReference w:type="first" r:id="rId14"/>
      <w:footnotePr>
        <w:pos w:val="pageBottom"/>
        <w:numFmt w:val="decimal"/>
        <w:numStart w:val="1"/>
        <w:numRestart w:val="continuous"/>
        <w15:footnoteColumns w:val="1"/>
      </w:footnotePr>
      <w:pgSz w:w="12240" w:h="15840"/>
      <w:pgMar w:top="1978" w:right="1925" w:bottom="1839" w:left="1719"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1112520</wp:posOffset>
              </wp:positionH>
              <wp:positionV relativeFrom="page">
                <wp:posOffset>9186545</wp:posOffset>
              </wp:positionV>
              <wp:extent cx="5547360" cy="173990"/>
              <wp:wrapNone/>
              <wp:docPr id="12" name="Shape 12"/>
              <a:graphic xmlns:a="http://schemas.openxmlformats.org/drawingml/2006/main">
                <a:graphicData uri="http://schemas.microsoft.com/office/word/2010/wordprocessingShape">
                  <wps:wsp>
                    <wps:cNvSpPr txBox="1"/>
                    <wps:spPr>
                      <a:xfrm>
                        <a:ext cx="5547360" cy="1739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PISA 2021 MATHEMATICS FRAMEWORK (SECOND DRAFT)</w:t>
                          </w:r>
                        </w:p>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For Official Use</w:t>
                          </w:r>
                        </w:p>
                      </w:txbxContent>
                    </wps:txbx>
                    <wps:bodyPr wrap="none" lIns="0" tIns="0" rIns="0" bIns="0">
                      <a:spAutoFit/>
                    </wps:bodyPr>
                  </wps:wsp>
                </a:graphicData>
              </a:graphic>
            </wp:anchor>
          </w:drawing>
        </mc:Choice>
        <mc:Fallback>
          <w:pict>
            <v:shape id="_x0000_s1038" type="#_x0000_t202" style="position:absolute;margin-left:87.600000000000009pt;margin-top:723.35000000000002pt;width:436.80000000000001pt;height:13.700000000000001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PISA 2021 MATHEMATICS FRAMEWORK (SECOND DRAFT)</w:t>
                    </w:r>
                  </w:p>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For Official Use</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1112520</wp:posOffset>
              </wp:positionH>
              <wp:positionV relativeFrom="page">
                <wp:posOffset>9182735</wp:posOffset>
              </wp:positionV>
              <wp:extent cx="5544185" cy="179705"/>
              <wp:wrapNone/>
              <wp:docPr id="17" name="Shape 17"/>
              <a:graphic xmlns:a="http://schemas.openxmlformats.org/drawingml/2006/main">
                <a:graphicData uri="http://schemas.microsoft.com/office/word/2010/wordprocessingShape">
                  <wps:wsp>
                    <wps:cNvSpPr txBox="1"/>
                    <wps:spPr>
                      <a:xfrm>
                        <a:ext cx="5544185" cy="17970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PISA 2021 MATHEMATICS FRAMEWORK (SECOND DRAFT)</w:t>
                          </w:r>
                        </w:p>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For Official Use</w:t>
                          </w:r>
                        </w:p>
                      </w:txbxContent>
                    </wps:txbx>
                    <wps:bodyPr wrap="none" lIns="0" tIns="0" rIns="0" bIns="0">
                      <a:spAutoFit/>
                    </wps:bodyPr>
                  </wps:wsp>
                </a:graphicData>
              </a:graphic>
            </wp:anchor>
          </w:drawing>
        </mc:Choice>
        <mc:Fallback>
          <w:pict>
            <v:shape id="_x0000_s1043" type="#_x0000_t202" style="position:absolute;margin-left:87.600000000000009pt;margin-top:723.05000000000007pt;width:436.55000000000001pt;height:14.15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PISA 2021 MATHEMATICS FRAMEWORK (SECOND DRAFT)</w:t>
                    </w:r>
                  </w:p>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For Official Use</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tabs>
          <w:tab w:pos="784" w:val="left"/>
        </w:tabs>
        <w:bidi w:val="0"/>
        <w:spacing w:before="0" w:after="0" w:line="271" w:lineRule="auto"/>
        <w:ind w:right="0"/>
        <w:jc w:val="both"/>
      </w:pPr>
      <w:r>
        <w:rPr>
          <w:color w:val="000000"/>
          <w:spacing w:val="0"/>
          <w:w w:val="100"/>
          <w:position w:val="0"/>
          <w:shd w:val="clear" w:color="auto" w:fill="FFFFFF"/>
          <w:vertAlign w:val="superscript"/>
        </w:rPr>
        <w:footnoteRef/>
      </w:r>
      <w:r>
        <w:rPr>
          <w:color w:val="000000"/>
          <w:spacing w:val="0"/>
          <w:w w:val="100"/>
          <w:position w:val="0"/>
        </w:rPr>
        <w:tab/>
        <w:t>Throughout this framework, references to mathematical reasoning assume both mathematical (deductive) and statistical (inductive) type reasoning.</w:t>
      </w:r>
    </w:p>
  </w:footnote>
  <w:footnote w:id="3">
    <w:p>
      <w:pPr>
        <w:pStyle w:val="Style2"/>
        <w:keepNext w:val="0"/>
        <w:keepLines w:val="0"/>
        <w:widowControl w:val="0"/>
        <w:shd w:val="clear" w:color="auto" w:fill="auto"/>
        <w:tabs>
          <w:tab w:pos="731" w:val="left"/>
        </w:tabs>
        <w:bidi w:val="0"/>
        <w:spacing w:before="0" w:after="0" w:line="240" w:lineRule="auto"/>
        <w:ind w:right="0"/>
        <w:jc w:val="both"/>
      </w:pPr>
      <w:r>
        <w:rPr>
          <w:color w:val="000000"/>
          <w:spacing w:val="0"/>
          <w:w w:val="100"/>
          <w:position w:val="0"/>
          <w:vertAlign w:val="superscript"/>
        </w:rPr>
        <w:footnoteRef/>
      </w:r>
      <w:r>
        <w:rPr>
          <w:color w:val="000000"/>
          <w:spacing w:val="0"/>
          <w:w w:val="100"/>
          <w:position w:val="0"/>
        </w:rPr>
        <w:tab/>
        <w:t xml:space="preserve">(Wing 2006) is J.Wing, </w:t>
      </w:r>
      <w:r>
        <w:rPr>
          <w:i/>
          <w:iCs/>
          <w:color w:val="000000"/>
          <w:spacing w:val="0"/>
          <w:w w:val="100"/>
          <w:position w:val="0"/>
        </w:rPr>
        <w:t>Computational Thinking,</w:t>
      </w:r>
      <w:r>
        <w:rPr>
          <w:color w:val="000000"/>
          <w:spacing w:val="0"/>
          <w:w w:val="100"/>
          <w:position w:val="0"/>
        </w:rPr>
        <w:t xml:space="preserve"> Communications of the ACM, Vol. 49, No. 3, March 2006, pp. 33-35.</w:t>
      </w:r>
    </w:p>
  </w:footnote>
  <w:footnote w:id="4">
    <w:p>
      <w:pPr>
        <w:pStyle w:val="Style2"/>
        <w:keepNext w:val="0"/>
        <w:keepLines w:val="0"/>
        <w:widowControl w:val="0"/>
        <w:shd w:val="clear" w:color="auto" w:fill="auto"/>
        <w:tabs>
          <w:tab w:pos="741" w:val="left"/>
        </w:tabs>
        <w:bidi w:val="0"/>
        <w:spacing w:before="0" w:after="0" w:line="240" w:lineRule="auto"/>
        <w:ind w:right="0"/>
        <w:jc w:val="left"/>
      </w:pPr>
      <w:r>
        <w:rPr>
          <w:color w:val="000000"/>
          <w:spacing w:val="0"/>
          <w:w w:val="100"/>
          <w:position w:val="0"/>
          <w:vertAlign w:val="superscript"/>
        </w:rPr>
        <w:footnoteRef/>
      </w:r>
      <w:r>
        <w:rPr>
          <w:color w:val="000000"/>
          <w:spacing w:val="0"/>
          <w:w w:val="100"/>
          <w:position w:val="0"/>
        </w:rPr>
        <w:tab/>
        <w:t xml:space="preserve">J. Wing, </w:t>
      </w:r>
      <w:r>
        <w:rPr>
          <w:i/>
          <w:iCs/>
          <w:color w:val="000000"/>
          <w:spacing w:val="0"/>
          <w:w w:val="100"/>
          <w:position w:val="0"/>
        </w:rPr>
        <w:t>Computational Thinking - What and Why?,</w:t>
      </w:r>
      <w:r>
        <w:rPr>
          <w:color w:val="000000"/>
          <w:spacing w:val="0"/>
          <w:w w:val="100"/>
          <w:position w:val="0"/>
        </w:rPr>
        <w:t xml:space="preserve"> The Magazine of Carnegie Mellon University’s School of Computer Science, March 2011. The LINK, Research Notebook. </w:t>
      </w:r>
      <w:r>
        <w:fldChar w:fldCharType="begin"/>
      </w:r>
      <w:r>
        <w:rPr/>
        <w:instrText> HYPERLINK "https://www.cs.cmu.edu/link/research-notebook-computational-thinking-what-and-why" </w:instrText>
      </w:r>
      <w:r>
        <w:fldChar w:fldCharType="separate"/>
      </w:r>
      <w:r>
        <w:rPr>
          <w:color w:val="000000"/>
          <w:spacing w:val="0"/>
          <w:w w:val="100"/>
          <w:position w:val="0"/>
        </w:rPr>
        <w:t>https://www.cs.cmu.edu/link/research-notebook-computational-thinking-what-and-why</w:t>
      </w:r>
      <w:r>
        <w:fldChar w:fldCharType="end"/>
      </w:r>
      <w:r>
        <w:rPr>
          <w:color w:val="000000"/>
          <w:spacing w:val="0"/>
          <w:w w:val="100"/>
          <w:position w:val="0"/>
        </w:rPr>
        <w:t>.</w:t>
      </w:r>
    </w:p>
  </w:footnote>
  <w:footnote w:id="5">
    <w:p>
      <w:pPr>
        <w:pStyle w:val="Style2"/>
        <w:keepNext w:val="0"/>
        <w:keepLines w:val="0"/>
        <w:widowControl w:val="0"/>
        <w:shd w:val="clear" w:color="auto" w:fill="auto"/>
        <w:tabs>
          <w:tab w:pos="770" w:val="left"/>
        </w:tabs>
        <w:bidi w:val="0"/>
        <w:spacing w:before="0" w:after="0" w:line="264" w:lineRule="auto"/>
        <w:ind w:right="0" w:firstLine="0"/>
        <w:jc w:val="left"/>
        <w:rPr>
          <w:sz w:val="16"/>
          <w:szCs w:val="16"/>
        </w:rPr>
      </w:pPr>
      <w:r>
        <w:rPr>
          <w:rFonts w:ascii="Times New Roman" w:eastAsia="Times New Roman" w:hAnsi="Times New Roman" w:cs="Times New Roman"/>
          <w:color w:val="000000"/>
          <w:spacing w:val="0"/>
          <w:w w:val="100"/>
          <w:position w:val="0"/>
          <w:sz w:val="16"/>
          <w:szCs w:val="16"/>
          <w:vertAlign w:val="superscript"/>
        </w:rPr>
        <w:footnoteRef/>
      </w:r>
      <w:r>
        <w:rPr>
          <w:rFonts w:ascii="Times New Roman" w:eastAsia="Times New Roman" w:hAnsi="Times New Roman" w:cs="Times New Roman"/>
          <w:color w:val="000000"/>
          <w:spacing w:val="0"/>
          <w:w w:val="100"/>
          <w:position w:val="0"/>
          <w:sz w:val="16"/>
          <w:szCs w:val="16"/>
        </w:rPr>
        <w:tab/>
        <w:t xml:space="preserve">J. Wing, </w:t>
      </w:r>
      <w:r>
        <w:rPr>
          <w:rFonts w:ascii="Times New Roman" w:eastAsia="Times New Roman" w:hAnsi="Times New Roman" w:cs="Times New Roman"/>
          <w:i/>
          <w:iCs/>
          <w:color w:val="000000"/>
          <w:spacing w:val="0"/>
          <w:w w:val="100"/>
          <w:position w:val="0"/>
          <w:sz w:val="16"/>
          <w:szCs w:val="16"/>
        </w:rPr>
        <w:t>Computational thinking and thinking about computing,</w:t>
      </w:r>
      <w:r>
        <w:rPr>
          <w:rFonts w:ascii="Times New Roman" w:eastAsia="Times New Roman" w:hAnsi="Times New Roman" w:cs="Times New Roman"/>
          <w:color w:val="000000"/>
          <w:spacing w:val="0"/>
          <w:w w:val="100"/>
          <w:position w:val="0"/>
          <w:sz w:val="16"/>
          <w:szCs w:val="16"/>
        </w:rPr>
        <w:t xml:space="preserve"> Philosophical Transactions of The Royal Society A, 366:3717-3725,2008</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5285105</wp:posOffset>
              </wp:positionH>
              <wp:positionV relativeFrom="page">
                <wp:posOffset>926465</wp:posOffset>
              </wp:positionV>
              <wp:extent cx="1371600" cy="137160"/>
              <wp:wrapNone/>
              <wp:docPr id="9" name="Shape 9"/>
              <a:graphic xmlns:a="http://schemas.openxmlformats.org/drawingml/2006/main">
                <a:graphicData uri="http://schemas.microsoft.com/office/word/2010/wordprocessingShape">
                  <wps:wsp>
                    <wps:cNvSpPr txBox="1"/>
                    <wps:spPr>
                      <a:xfrm>
                        <a:ext cx="1371600" cy="13716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6"/>
                              <w:szCs w:val="16"/>
                            </w:rPr>
                            <w:t xml:space="preserve">EDU/PISA/GB(2018)19 | </w:t>
                          </w:r>
                          <w:fldSimple w:instr=" PAGE \* MERGEFORMAT ">
                            <w:r>
                              <w:rPr>
                                <w:b/>
                                <w:bCs/>
                                <w:color w:val="000000"/>
                                <w:spacing w:val="0"/>
                                <w:w w:val="100"/>
                                <w:position w:val="0"/>
                                <w:sz w:val="19"/>
                                <w:szCs w:val="19"/>
                              </w:rPr>
                              <w:t>#</w:t>
                            </w:r>
                          </w:fldSimple>
                        </w:p>
                      </w:txbxContent>
                    </wps:txbx>
                    <wps:bodyPr wrap="none" lIns="0" tIns="0" rIns="0" bIns="0">
                      <a:spAutoFit/>
                    </wps:bodyPr>
                  </wps:wsp>
                </a:graphicData>
              </a:graphic>
            </wp:anchor>
          </w:drawing>
        </mc:Choice>
        <mc:Fallback>
          <w:pict>
            <v:shape id="_x0000_s1035" type="#_x0000_t202" style="position:absolute;margin-left:416.15000000000003pt;margin-top:72.950000000000003pt;width:108.pt;height:10.800000000000001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6"/>
                        <w:szCs w:val="16"/>
                      </w:rPr>
                      <w:t xml:space="preserve">EDU/PISA/GB(2018)19 | </w:t>
                    </w:r>
                    <w:fldSimple w:instr=" PAGE \* MERGEFORMAT ">
                      <w:r>
                        <w:rPr>
                          <w:b/>
                          <w:bCs/>
                          <w:color w:val="000000"/>
                          <w:spacing w:val="0"/>
                          <w:w w:val="100"/>
                          <w:position w:val="0"/>
                          <w:sz w:val="19"/>
                          <w:szCs w:val="19"/>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1091565</wp:posOffset>
              </wp:positionH>
              <wp:positionV relativeFrom="page">
                <wp:posOffset>1086485</wp:posOffset>
              </wp:positionV>
              <wp:extent cx="5593080" cy="0"/>
              <wp:wrapNone/>
              <wp:docPr id="11" name="Shape 11"/>
              <a:graphic xmlns:a="http://schemas.openxmlformats.org/drawingml/2006/main">
                <a:graphicData uri="http://schemas.microsoft.com/office/word/2010/wordprocessingShape">
                  <wps:wsp>
                    <wps:cNvCnPr/>
                    <wps:spPr>
                      <a:xfrm>
                        <a:ext cx="5593080" cy="0"/>
                      </a:xfrm>
                      <a:prstGeom prst="straightConnector1"/>
                      <a:ln w="12700">
                        <a:solidFill/>
                      </a:ln>
                    </wps:spPr>
                    <wps:bodyPr/>
                  </wps:wsp>
                </a:graphicData>
              </a:graphic>
            </wp:anchor>
          </w:drawing>
        </mc:Choice>
        <mc:Fallback>
          <w:pict>
            <v:shape o:spt="32" o:oned="true" path="m,l21600,21600e" style="position:absolute;margin-left:85.950000000000003pt;margin-top:85.549999999999997pt;width:440.40000000000003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1114425</wp:posOffset>
              </wp:positionH>
              <wp:positionV relativeFrom="page">
                <wp:posOffset>922020</wp:posOffset>
              </wp:positionV>
              <wp:extent cx="1374140" cy="144780"/>
              <wp:wrapNone/>
              <wp:docPr id="14" name="Shape 14"/>
              <a:graphic xmlns:a="http://schemas.openxmlformats.org/drawingml/2006/main">
                <a:graphicData uri="http://schemas.microsoft.com/office/word/2010/wordprocessingShape">
                  <wps:wsp>
                    <wps:cNvSpPr txBox="1"/>
                    <wps:spPr>
                      <a:xfrm>
                        <a:ext cx="1374140" cy="14478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rPr>
                              <w:t>#</w:t>
                            </w:r>
                          </w:fldSimple>
                          <w:r>
                            <w:rPr>
                              <w:b/>
                              <w:bCs/>
                              <w:color w:val="000000"/>
                              <w:spacing w:val="0"/>
                              <w:w w:val="100"/>
                              <w:position w:val="0"/>
                              <w:sz w:val="18"/>
                              <w:szCs w:val="18"/>
                            </w:rPr>
                            <w:t xml:space="preserve"> I EDUZPISA/GB(2018)19</w:t>
                          </w:r>
                        </w:p>
                      </w:txbxContent>
                    </wps:txbx>
                    <wps:bodyPr wrap="none" lIns="0" tIns="0" rIns="0" bIns="0">
                      <a:spAutoFit/>
                    </wps:bodyPr>
                  </wps:wsp>
                </a:graphicData>
              </a:graphic>
            </wp:anchor>
          </w:drawing>
        </mc:Choice>
        <mc:Fallback>
          <w:pict>
            <v:shape id="_x0000_s1040" type="#_x0000_t202" style="position:absolute;margin-left:87.75pt;margin-top:72.600000000000009pt;width:108.2pt;height:11.4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rPr>
                        <w:t>#</w:t>
                      </w:r>
                    </w:fldSimple>
                    <w:r>
                      <w:rPr>
                        <w:b/>
                        <w:bCs/>
                        <w:color w:val="000000"/>
                        <w:spacing w:val="0"/>
                        <w:w w:val="100"/>
                        <w:position w:val="0"/>
                        <w:sz w:val="18"/>
                        <w:szCs w:val="18"/>
                      </w:rPr>
                      <w:t xml:space="preserve"> I EDUZPISA/GB(2018)19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1091565</wp:posOffset>
              </wp:positionH>
              <wp:positionV relativeFrom="page">
                <wp:posOffset>1085850</wp:posOffset>
              </wp:positionV>
              <wp:extent cx="5588000" cy="0"/>
              <wp:wrapNone/>
              <wp:docPr id="16" name="Shape 16"/>
              <a:graphic xmlns:a="http://schemas.openxmlformats.org/drawingml/2006/main">
                <a:graphicData uri="http://schemas.microsoft.com/office/word/2010/wordprocessingShape">
                  <wps:wsp>
                    <wps:cNvCnPr/>
                    <wps:spPr>
                      <a:xfrm>
                        <a:ext cx="5588000" cy="0"/>
                      </a:xfrm>
                      <a:prstGeom prst="straightConnector1"/>
                      <a:ln w="12700">
                        <a:solidFill/>
                      </a:ln>
                    </wps:spPr>
                    <wps:bodyPr/>
                  </wps:wsp>
                </a:graphicData>
              </a:graphic>
            </wp:anchor>
          </w:drawing>
        </mc:Choice>
        <mc:Fallback>
          <w:pict>
            <v:shape o:spt="32" o:oned="true" path="m,l21600,21600e" style="position:absolute;margin-left:85.950000000000003pt;margin-top:85.5pt;width:440.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7"/>
      <w:szCs w:val="17"/>
      <w:u w:val="none"/>
      <w:shd w:val="clear" w:color="auto" w:fill="auto"/>
    </w:rPr>
  </w:style>
  <w:style w:type="character" w:customStyle="1" w:styleId="CharStyle9">
    <w:name w:val="Body text (2)_"/>
    <w:basedOn w:val="DefaultParagraphFont"/>
    <w:link w:val="Style8"/>
    <w:rPr>
      <w:rFonts w:ascii="Times New Roman" w:eastAsia="Times New Roman" w:hAnsi="Times New Roman" w:cs="Times New Roman"/>
      <w:b w:val="0"/>
      <w:bCs w:val="0"/>
      <w:i w:val="0"/>
      <w:iCs w:val="0"/>
      <w:smallCaps w:val="0"/>
      <w:strike w:val="0"/>
      <w:sz w:val="52"/>
      <w:szCs w:val="52"/>
      <w:u w:val="none"/>
      <w:shd w:val="clear" w:color="auto" w:fill="auto"/>
    </w:rPr>
  </w:style>
  <w:style w:type="character" w:customStyle="1" w:styleId="CharStyle11">
    <w:name w:val="Body text (4)_"/>
    <w:basedOn w:val="DefaultParagraphFont"/>
    <w:link w:val="Style10"/>
    <w:rPr>
      <w:rFonts w:ascii="Cambria" w:eastAsia="Cambria" w:hAnsi="Cambria" w:cs="Cambria"/>
      <w:b w:val="0"/>
      <w:bCs w:val="0"/>
      <w:i w:val="0"/>
      <w:iCs w:val="0"/>
      <w:smallCaps w:val="0"/>
      <w:strike w:val="0"/>
      <w:sz w:val="22"/>
      <w:szCs w:val="22"/>
      <w:u w:val="none"/>
      <w:shd w:val="clear" w:color="auto" w:fill="auto"/>
    </w:rPr>
  </w:style>
  <w:style w:type="character" w:customStyle="1" w:styleId="CharStyle13">
    <w:name w:val="Body text (5)_"/>
    <w:basedOn w:val="DefaultParagraphFont"/>
    <w:link w:val="Style12"/>
    <w:rPr>
      <w:rFonts w:ascii="Arial" w:eastAsia="Arial" w:hAnsi="Arial" w:cs="Arial"/>
      <w:b w:val="0"/>
      <w:bCs w:val="0"/>
      <w:i w:val="0"/>
      <w:iCs w:val="0"/>
      <w:smallCaps w:val="0"/>
      <w:strike w:val="0"/>
      <w:color w:val="516F7E"/>
      <w:sz w:val="48"/>
      <w:szCs w:val="48"/>
      <w:u w:val="none"/>
      <w:shd w:val="clear" w:color="auto" w:fill="auto"/>
    </w:rPr>
  </w:style>
  <w:style w:type="character" w:customStyle="1" w:styleId="CharStyle15">
    <w:name w:val="Heading #1_"/>
    <w:basedOn w:val="DefaultParagraphFont"/>
    <w:link w:val="Style14"/>
    <w:rPr>
      <w:rFonts w:ascii="Times New Roman" w:eastAsia="Times New Roman" w:hAnsi="Times New Roman" w:cs="Times New Roman"/>
      <w:b w:val="0"/>
      <w:bCs w:val="0"/>
      <w:i/>
      <w:iCs/>
      <w:smallCaps w:val="0"/>
      <w:strike w:val="0"/>
      <w:color w:val="4F81BD"/>
      <w:sz w:val="30"/>
      <w:szCs w:val="30"/>
      <w:u w:val="none"/>
      <w:shd w:val="clear" w:color="auto" w:fill="auto"/>
    </w:rPr>
  </w:style>
  <w:style w:type="character" w:customStyle="1" w:styleId="CharStyle17">
    <w:name w:val="Header or footer (2)_"/>
    <w:basedOn w:val="DefaultParagraphFont"/>
    <w:link w:val="Style1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1">
    <w:name w:val="Table of contents_"/>
    <w:basedOn w:val="DefaultParagraphFont"/>
    <w:link w:val="Style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6">
    <w:name w:val="Body text_"/>
    <w:basedOn w:val="DefaultParagraphFont"/>
    <w:link w:val="Style2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30">
    <w:name w:val="Body text (3)_"/>
    <w:basedOn w:val="DefaultParagraphFont"/>
    <w:link w:val="Style29"/>
    <w:rPr>
      <w:rFonts w:ascii="Times New Roman" w:eastAsia="Times New Roman" w:hAnsi="Times New Roman" w:cs="Times New Roman"/>
      <w:b/>
      <w:bCs/>
      <w:i w:val="0"/>
      <w:iCs w:val="0"/>
      <w:smallCaps w:val="0"/>
      <w:strike w:val="0"/>
      <w:color w:val="4F81BD"/>
      <w:sz w:val="26"/>
      <w:szCs w:val="26"/>
      <w:u w:val="none"/>
      <w:shd w:val="clear" w:color="auto" w:fill="auto"/>
    </w:rPr>
  </w:style>
  <w:style w:type="character" w:customStyle="1" w:styleId="CharStyle34">
    <w:name w:val="Picture caption_"/>
    <w:basedOn w:val="DefaultParagraphFont"/>
    <w:link w:val="Style33"/>
    <w:rPr>
      <w:rFonts w:ascii="Times New Roman" w:eastAsia="Times New Roman" w:hAnsi="Times New Roman" w:cs="Times New Roman"/>
      <w:b/>
      <w:bCs/>
      <w:i w:val="0"/>
      <w:iCs w:val="0"/>
      <w:smallCaps w:val="0"/>
      <w:strike w:val="0"/>
      <w:sz w:val="18"/>
      <w:szCs w:val="18"/>
      <w:u w:val="none"/>
      <w:shd w:val="clear" w:color="auto" w:fill="auto"/>
    </w:rPr>
  </w:style>
  <w:style w:type="paragraph" w:customStyle="1" w:styleId="Style2">
    <w:name w:val="Footnote"/>
    <w:basedOn w:val="Normal"/>
    <w:link w:val="CharStyle3"/>
    <w:pPr>
      <w:widowControl w:val="0"/>
      <w:shd w:val="clear" w:color="auto" w:fill="auto"/>
      <w:spacing w:line="252" w:lineRule="auto"/>
      <w:ind w:left="640" w:firstLine="20"/>
    </w:pPr>
    <w:rPr>
      <w:rFonts w:ascii="Arial" w:eastAsia="Arial" w:hAnsi="Arial" w:cs="Arial"/>
      <w:b w:val="0"/>
      <w:bCs w:val="0"/>
      <w:i w:val="0"/>
      <w:iCs w:val="0"/>
      <w:smallCaps w:val="0"/>
      <w:strike w:val="0"/>
      <w:sz w:val="17"/>
      <w:szCs w:val="17"/>
      <w:u w:val="none"/>
      <w:shd w:val="clear" w:color="auto" w:fill="auto"/>
    </w:rPr>
  </w:style>
  <w:style w:type="paragraph" w:customStyle="1" w:styleId="Style8">
    <w:name w:val="Body text (2)"/>
    <w:basedOn w:val="Normal"/>
    <w:link w:val="CharStyle9"/>
    <w:pPr>
      <w:widowControl w:val="0"/>
      <w:shd w:val="clear" w:color="auto" w:fill="auto"/>
      <w:spacing w:before="1000" w:after="760"/>
      <w:jc w:val="center"/>
    </w:pPr>
    <w:rPr>
      <w:rFonts w:ascii="Times New Roman" w:eastAsia="Times New Roman" w:hAnsi="Times New Roman" w:cs="Times New Roman"/>
      <w:b w:val="0"/>
      <w:bCs w:val="0"/>
      <w:i w:val="0"/>
      <w:iCs w:val="0"/>
      <w:smallCaps w:val="0"/>
      <w:strike w:val="0"/>
      <w:sz w:val="52"/>
      <w:szCs w:val="52"/>
      <w:u w:val="none"/>
      <w:shd w:val="clear" w:color="auto" w:fill="auto"/>
    </w:rPr>
  </w:style>
  <w:style w:type="paragraph" w:customStyle="1" w:styleId="Style10">
    <w:name w:val="Body text (4)"/>
    <w:basedOn w:val="Normal"/>
    <w:link w:val="CharStyle11"/>
    <w:pPr>
      <w:widowControl w:val="0"/>
      <w:shd w:val="clear" w:color="auto" w:fill="auto"/>
      <w:spacing w:after="7620"/>
      <w:jc w:val="center"/>
    </w:pPr>
    <w:rPr>
      <w:rFonts w:ascii="Cambria" w:eastAsia="Cambria" w:hAnsi="Cambria" w:cs="Cambria"/>
      <w:b w:val="0"/>
      <w:bCs w:val="0"/>
      <w:i w:val="0"/>
      <w:iCs w:val="0"/>
      <w:smallCaps w:val="0"/>
      <w:strike w:val="0"/>
      <w:sz w:val="22"/>
      <w:szCs w:val="22"/>
      <w:u w:val="none"/>
      <w:shd w:val="clear" w:color="auto" w:fill="auto"/>
    </w:rPr>
  </w:style>
  <w:style w:type="paragraph" w:customStyle="1" w:styleId="Style12">
    <w:name w:val="Body text (5)"/>
    <w:basedOn w:val="Normal"/>
    <w:link w:val="CharStyle13"/>
    <w:pPr>
      <w:widowControl w:val="0"/>
      <w:shd w:val="clear" w:color="auto" w:fill="auto"/>
      <w:jc w:val="center"/>
    </w:pPr>
    <w:rPr>
      <w:rFonts w:ascii="Arial" w:eastAsia="Arial" w:hAnsi="Arial" w:cs="Arial"/>
      <w:b w:val="0"/>
      <w:bCs w:val="0"/>
      <w:i w:val="0"/>
      <w:iCs w:val="0"/>
      <w:smallCaps w:val="0"/>
      <w:strike w:val="0"/>
      <w:color w:val="516F7E"/>
      <w:sz w:val="48"/>
      <w:szCs w:val="48"/>
      <w:u w:val="none"/>
      <w:shd w:val="clear" w:color="auto" w:fill="auto"/>
    </w:rPr>
  </w:style>
  <w:style w:type="paragraph" w:customStyle="1" w:styleId="Style14">
    <w:name w:val="Heading #1"/>
    <w:basedOn w:val="Normal"/>
    <w:link w:val="CharStyle15"/>
    <w:pPr>
      <w:widowControl w:val="0"/>
      <w:shd w:val="clear" w:color="auto" w:fill="auto"/>
      <w:spacing w:after="630"/>
      <w:jc w:val="center"/>
      <w:outlineLvl w:val="0"/>
    </w:pPr>
    <w:rPr>
      <w:rFonts w:ascii="Times New Roman" w:eastAsia="Times New Roman" w:hAnsi="Times New Roman" w:cs="Times New Roman"/>
      <w:b w:val="0"/>
      <w:bCs w:val="0"/>
      <w:i/>
      <w:iCs/>
      <w:smallCaps w:val="0"/>
      <w:strike w:val="0"/>
      <w:color w:val="4F81BD"/>
      <w:sz w:val="30"/>
      <w:szCs w:val="30"/>
      <w:u w:val="none"/>
      <w:shd w:val="clear" w:color="auto" w:fill="auto"/>
    </w:rPr>
  </w:style>
  <w:style w:type="paragraph" w:customStyle="1" w:styleId="Style16">
    <w:name w:val="Header or footer (2)"/>
    <w:basedOn w:val="Normal"/>
    <w:link w:val="CharStyle17"/>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0">
    <w:name w:val="Table of contents"/>
    <w:basedOn w:val="Normal"/>
    <w:link w:val="CharStyle21"/>
    <w:pPr>
      <w:widowControl w:val="0"/>
      <w:shd w:val="clear" w:color="auto" w:fill="auto"/>
      <w:ind w:firstLine="90"/>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Style25">
    <w:name w:val="Body text"/>
    <w:basedOn w:val="Normal"/>
    <w:link w:val="CharStyle26"/>
    <w:qFormat/>
    <w:pPr>
      <w:widowControl w:val="0"/>
      <w:shd w:val="clear" w:color="auto" w:fill="auto"/>
      <w:spacing w:after="120"/>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9">
    <w:name w:val="Body text (3)"/>
    <w:basedOn w:val="Normal"/>
    <w:link w:val="CharStyle30"/>
    <w:pPr>
      <w:widowControl w:val="0"/>
      <w:shd w:val="clear" w:color="auto" w:fill="auto"/>
      <w:spacing w:after="660"/>
      <w:jc w:val="center"/>
    </w:pPr>
    <w:rPr>
      <w:rFonts w:ascii="Times New Roman" w:eastAsia="Times New Roman" w:hAnsi="Times New Roman" w:cs="Times New Roman"/>
      <w:b/>
      <w:bCs/>
      <w:i w:val="0"/>
      <w:iCs w:val="0"/>
      <w:smallCaps w:val="0"/>
      <w:strike w:val="0"/>
      <w:color w:val="4F81BD"/>
      <w:sz w:val="26"/>
      <w:szCs w:val="26"/>
      <w:u w:val="none"/>
      <w:shd w:val="clear" w:color="auto" w:fill="auto"/>
    </w:rPr>
  </w:style>
  <w:style w:type="paragraph" w:customStyle="1" w:styleId="Style33">
    <w:name w:val="Picture caption"/>
    <w:basedOn w:val="Normal"/>
    <w:link w:val="CharStyle34"/>
    <w:pPr>
      <w:widowControl w:val="0"/>
      <w:shd w:val="clear" w:color="auto" w:fill="auto"/>
      <w:spacing w:line="254" w:lineRule="auto"/>
      <w:jc w:val="center"/>
    </w:pPr>
    <w:rPr>
      <w:rFonts w:ascii="Times New Roman" w:eastAsia="Times New Roman" w:hAnsi="Times New Roman" w:cs="Times New Roman"/>
      <w:b/>
      <w:bCs/>
      <w:i w:val="0"/>
      <w:iCs w:val="0"/>
      <w:smallCaps w:val="0"/>
      <w:strike w:val="0"/>
      <w:sz w:val="18"/>
      <w:szCs w:val="1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PISA 2021 Mathematics Framework.pdf</dc:title>
  <dc:subject/>
  <dc:creator>sulta</dc:creator>
  <cp:keywords/>
</cp:coreProperties>
</file>