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6" w:rsidRPr="00EC66C6" w:rsidRDefault="00EC66C6" w:rsidP="00EC66C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43A40"/>
          <w:sz w:val="36"/>
          <w:szCs w:val="36"/>
          <w:lang w:val="uk-UA" w:eastAsia="ru-RU"/>
        </w:rPr>
      </w:pPr>
      <w:proofErr w:type="spellStart"/>
      <w:r w:rsidRPr="00EC66C6">
        <w:rPr>
          <w:rFonts w:ascii="Segoe UI" w:eastAsia="Times New Roman" w:hAnsi="Segoe UI" w:cs="Segoe UI"/>
          <w:color w:val="343A40"/>
          <w:sz w:val="36"/>
          <w:szCs w:val="36"/>
          <w:lang w:eastAsia="ru-RU"/>
        </w:rPr>
        <w:t>Завдання</w:t>
      </w:r>
      <w:proofErr w:type="spellEnd"/>
      <w:r w:rsidRPr="00EC66C6">
        <w:rPr>
          <w:rFonts w:ascii="Segoe UI" w:eastAsia="Times New Roman" w:hAnsi="Segoe UI" w:cs="Segoe UI"/>
          <w:color w:val="343A40"/>
          <w:sz w:val="36"/>
          <w:szCs w:val="36"/>
          <w:lang w:eastAsia="ru-RU"/>
        </w:rPr>
        <w:t xml:space="preserve"> для практичного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36"/>
          <w:szCs w:val="36"/>
          <w:lang w:eastAsia="ru-RU"/>
        </w:rPr>
        <w:t>заняття</w:t>
      </w:r>
      <w:proofErr w:type="spellEnd"/>
      <w:r>
        <w:rPr>
          <w:rFonts w:ascii="Segoe UI" w:eastAsia="Times New Roman" w:hAnsi="Segoe UI" w:cs="Segoe UI"/>
          <w:color w:val="343A40"/>
          <w:sz w:val="36"/>
          <w:szCs w:val="36"/>
          <w:lang w:val="uk-UA" w:eastAsia="ru-RU"/>
        </w:rPr>
        <w:t xml:space="preserve"> тема 5</w:t>
      </w:r>
      <w:bookmarkStart w:id="0" w:name="_GoBack"/>
      <w:bookmarkEnd w:id="0"/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spellStart"/>
      <w:r w:rsidRPr="00EC66C6">
        <w:rPr>
          <w:rFonts w:ascii="Segoe UI" w:eastAsia="Times New Roman" w:hAnsi="Segoe UI" w:cs="Segoe UI"/>
          <w:b/>
          <w:bCs/>
          <w:i/>
          <w:iCs/>
          <w:color w:val="343A40"/>
          <w:sz w:val="23"/>
          <w:szCs w:val="23"/>
          <w:lang w:eastAsia="ru-RU"/>
        </w:rPr>
        <w:t>Практичне</w:t>
      </w:r>
      <w:proofErr w:type="spellEnd"/>
      <w:r w:rsidRPr="00EC66C6">
        <w:rPr>
          <w:rFonts w:ascii="Segoe UI" w:eastAsia="Times New Roman" w:hAnsi="Segoe UI" w:cs="Segoe UI"/>
          <w:b/>
          <w:bCs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b/>
          <w:bCs/>
          <w:i/>
          <w:iCs/>
          <w:color w:val="343A40"/>
          <w:sz w:val="23"/>
          <w:szCs w:val="23"/>
          <w:lang w:eastAsia="ru-RU"/>
        </w:rPr>
        <w:t>заняття</w:t>
      </w:r>
      <w:proofErr w:type="spellEnd"/>
      <w:r w:rsidRPr="00EC66C6">
        <w:rPr>
          <w:rFonts w:ascii="Segoe UI" w:eastAsia="Times New Roman" w:hAnsi="Segoe UI" w:cs="Segoe UI"/>
          <w:b/>
          <w:bCs/>
          <w:i/>
          <w:iCs/>
          <w:color w:val="343A40"/>
          <w:sz w:val="23"/>
          <w:szCs w:val="23"/>
          <w:lang w:eastAsia="ru-RU"/>
        </w:rPr>
        <w:t xml:space="preserve"> № 1 - 2 год.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gramStart"/>
      <w:r w:rsidRPr="00EC66C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ru-RU"/>
        </w:rPr>
        <w:t>1.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16 лютого 2018 року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приблизно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 23:00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годині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Б.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спільно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попередньою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змовою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Ю.,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знаходячись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неподалік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автобусної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зупинки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умисно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корисливих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мотивів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шляхом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ривка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сумки, яка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знаходилась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руках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громадянки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відкрито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заволодів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сумкою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вартістю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550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знаходився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гаманець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вартістю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300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гривень</w:t>
      </w:r>
      <w:proofErr w:type="spellEnd"/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грошові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кошти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сумі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27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мобільний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телефон марки «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Meizu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-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МЗес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»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вартістю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2800 грн.,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спричинив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останній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матеріальну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шкоду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загальну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суму 4957 грн.,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місця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скоєння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зникли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майно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розділили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порівну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Дії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винних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осіб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кваліфіковані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 ст. 186 ч. 2 КК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України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оскільки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кожний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них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вчинив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відкрите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викрадення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чужого майна,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попередньою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змовою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групою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осіб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тобто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грабіж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       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Визначте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вид складу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 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ступенем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суспільної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небезпечності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особливістю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конструкції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на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наслідками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>Відповідь:</w:t>
      </w:r>
      <w:r w:rsidRPr="00EC66C6">
        <w:rPr>
          <w:lang w:val="uk-UA"/>
        </w:rPr>
        <w:t xml:space="preserve"> 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ступенем суспільної небезпечності (тяжкості):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склад із кваліфікуючими ознаками, тобто з такими, які обтяжують відповідальність і впливають на кваліфікацію. Прикладом кваліфікованого складу можна вважати ч. 2 ст. 185 КК, тобто крадіжку, вчинену повторно або за п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опередньою змовою групою осіб ;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особливостями конструкції: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Злочинами з формальним складом називають такі, що не містять у собі як обов'язкову ознаку суспільне небезпечні наслідки, а тому злочин вважається закінченим з моменту вчинення зазначених у законі діянь. Наприклад, ч. 1 ст. 331 встановлює відповідальність за незаконне перетинання державного кордону. І цей злочин вважається закінченим з моменту вчинення самого діяння (переходу), не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залежно від можливих наслідків.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наслідками: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матеріальний (матеріальні збитки, фізична шкода)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        </w:t>
      </w:r>
      <w:r w:rsidRPr="00EC66C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ru-RU"/>
        </w:rPr>
        <w:t>2.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Г. разом з Б. 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попередньою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змовою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між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собою,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близько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04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години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15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хвилин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перебуваючи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стані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алкогольного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сп'яніння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автобусної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зупинки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"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Посьолок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дока" по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вулиці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Грушевського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 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раптово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несподівано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для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вчинили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напад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останнього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долаючи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опі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</w:t>
      </w:r>
      <w:proofErr w:type="spellEnd"/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збили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ніг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і почали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наносити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численні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удари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кулаками рук та ногами по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ізних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частинах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тіла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затягнули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через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проїзну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частину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вулиці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Грушевського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неосвітленої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ділянки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місцевості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розташованої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узбіччі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вулиці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неподалік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будинку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№169 по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вулиці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протягом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тривалого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часу, Г.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тримав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ремінь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штанів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З., а Б.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продовжив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наносити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удари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кулаками рук та ногами в область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голови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вказаного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Б.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обхопив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шию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рукою,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зігнувши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її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лікті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почав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удушувати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втратив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свідомість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Внаслідок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таких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були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заподіяні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тілесні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ушкодження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вигляді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струсу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головного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мозку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множинних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гематом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обличчя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відносяться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категорії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легких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тілесних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ушкоджень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короткочасним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розладом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здоров'я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цього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Г. та Б.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роздягнули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lastRenderedPageBreak/>
        <w:t>перевірили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кишені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одягу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особисті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речі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відкрито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заволодівши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майном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останнього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загальну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суму 16 861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гривню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35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копійок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Умисними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діями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виразились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 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нападі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метою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заволодіння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чужим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майном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поєднаному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із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застосуванням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насильства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небезпечного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для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життя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здоров'я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особи, яка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зазнала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нападу,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вчиненими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попередньою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змовою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групою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осіб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Г. та Б. вчинили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розбій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тобто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кримінальне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передбачене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ч.2 ст.187 КК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України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  <w:proofErr w:type="gramEnd"/>
    </w:p>
    <w:p w:rsid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</w:pP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Визначте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вид складу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 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ступенем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суспільної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небезпечності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особливістю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конструкції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на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наслідками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>Відповідь:</w:t>
      </w:r>
      <w:r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</w:t>
      </w: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ступенем суспільної небезпечності: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склад із кваліфікуючими ознаками (тобто з такими, які обтяжують відповідальніс</w:t>
      </w:r>
      <w:r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>ть і впливають на кваліфікацію)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особливістю конструкц</w:t>
      </w: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 xml:space="preserve">ії: </w:t>
      </w:r>
      <w:r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>злочин з формальним складом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наслідками: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матеріальні і нематеріальні наслідки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ru-RU"/>
        </w:rPr>
        <w:t>3.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Д.,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погрозою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знищення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майна,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володіє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громадянин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Є., 03.06.2018 року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вчинення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крадіжки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державних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номерних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знаків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марки «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Nissan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Maxima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»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сірого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кольору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належного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залишив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лобовому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склі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папірець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номером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мобільного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телефону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надписом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«Позвони». 03.06.2018 року об 11 год. 20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хв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виявлення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крадіжки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державних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номерних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знаків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зателефонував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свого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номеру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мобільного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вищевказаний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номер,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відповів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Д.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ході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розмови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мобільному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телефону Д., з метою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отримання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вигоди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виказав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вимогу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передати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грошові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кошти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розмі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500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погрозою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знищити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шляхом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підпалу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разі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невиконання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вимог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сприйняв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як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реальні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виказав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готовність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переказати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200 грн.,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бажаючи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настання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негативних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наслідків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Домовившись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Д.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повідомив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останньому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що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потрібно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ідійти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терміналу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перерахувати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грошові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кошти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сумі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200 грн. на номер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мобільного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телефону.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Однак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Є.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звернувся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із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заявою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правоохоронних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органі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</w:t>
      </w:r>
      <w:proofErr w:type="spellEnd"/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Д.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був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затриманий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</w:pP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Визначте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вид складу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 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ступенем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суспільної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небезпечності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особливістю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конструкції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на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наслідками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>Відповідь:</w:t>
      </w: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 xml:space="preserve"> 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ступенем суспільної небезпечності: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простий (іноді його на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зивають основний) склад злочину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 xml:space="preserve">За особливістю конструкції: 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Злочинами з усіченим складом вважаються такі, в яких момент закінчення злочину самим законом переноситься на стадію готування або на стадію замаху. Наприклад, за ст. 129 відповідальність за погрозу вбивством настає з моменту самої погрози, а розбій вважається закінченим злочином з моменту нападу з метою заво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лодіння чужим майном (ст. 187).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 xml:space="preserve">За наслідками: 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>матеріальний (матеріальні збитки, фізична шкода)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ru-RU"/>
        </w:rPr>
        <w:t>4.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11 листопада 2017 року,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близько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07 год. 50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хв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., Щ.,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керуючи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автомобілем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по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Рокосовського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сторони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вул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lastRenderedPageBreak/>
        <w:t>Рухаючись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вказаному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напрямку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Щ., проявив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неуважність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стежив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дорожньою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обстановкою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її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змінами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наближаючись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нерегульованого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ішохідного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переходу,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перебували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пішоходи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зменшив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швидкість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зупинився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результаті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скоїв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наїзд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пішоходів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3. та Г.,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перетинали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проїзну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частину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межах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нерегульованого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пішохідного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переходу.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результаті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дорожньо-транспортної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пригоди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ішохід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отримала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тілесні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ушкодження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вигляді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: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закритої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черепно-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мозкової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травми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струсом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головного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мозку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забійної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рани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чола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закритої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травми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шийного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відділу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хребта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вивихом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1-го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шийного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хребця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сукупності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як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наслідок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одного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травматичного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процесу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умовах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дорожньо-транспортної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пригоди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згідно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висновку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судово-медичної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експертизи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відносяться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категорії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тілесних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ушкоджень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середнього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ступеню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тяжкості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ознакою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тривалого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розладу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здоров'я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строк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більше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ніж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21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добу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У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дан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обстановці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водій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ОСОБА_2, грубо порушив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вимоги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п.п.1.3, 1.5, 2.3 «б», 18.1 Правил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руху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що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стало причиною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умовою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настання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події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даної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дорожньо-транспортної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пригоди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Таким чином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визнаний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винним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вчиненні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передбаченого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ч. 1 ст. 286 КК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України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</w:pP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Визначте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вид складу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 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ступенем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суспільної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небезпечності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особлив</w:t>
      </w:r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істю</w:t>
      </w:r>
      <w:proofErr w:type="spellEnd"/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конструкції</w:t>
      </w:r>
      <w:proofErr w:type="spellEnd"/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на </w:t>
      </w:r>
      <w:proofErr w:type="spellStart"/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наслідками</w:t>
      </w:r>
      <w:proofErr w:type="spellEnd"/>
      <w:r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>Відповідь:</w:t>
      </w: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 xml:space="preserve"> 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а ступенем суспільної небезп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ечності: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простий склад злочину 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особливістю конструкц</w:t>
      </w: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ії:</w:t>
      </w:r>
      <w:r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злочин з формальним складом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val="uk-UA" w:eastAsia="ru-RU"/>
        </w:rPr>
        <w:t>За наслідками:</w:t>
      </w:r>
      <w:r w:rsidRPr="00EC66C6"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  <w:t xml:space="preserve"> матеріальні наслідки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ru-RU"/>
        </w:rPr>
        <w:t>5.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 17.11.2018 року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близько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03:50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неповнолітній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І.,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перебуваючи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салоні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скориставшись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відсутністю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водія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громадянина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вирі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шив</w:t>
      </w:r>
      <w:proofErr w:type="spellEnd"/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незаконно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заволодіти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даним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транспортним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засобом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Для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цього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допомогою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ножиць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знаходились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салон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транспортного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засобу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намагався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завести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двигун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без ключа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запалювання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а коли завести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двигун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зумів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то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вирвав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контактну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групу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замка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запалювання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намагався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завести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двигун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шляхом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з’єднання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проводів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запалювання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однак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посадив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акумуляторну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батарею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</w:t>
      </w:r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ісля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цього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неповнолітній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І. попросив Ш.,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який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не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усвідомлював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що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І. 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намагається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незаконно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заволодіти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транспортним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засобом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та стояв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неподалік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допомогти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штовхнути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завести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його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буксира,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пообіцявши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останньому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заплатити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30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гривень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подальшому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неповнолітній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І.,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непомітно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для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сторонніх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осіб</w:t>
      </w:r>
      <w:proofErr w:type="spellEnd"/>
      <w:proofErr w:type="gram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накатом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поїхав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на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ньому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місця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події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Проїхавши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20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метрів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,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автомобіль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зупинився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. І.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вийшов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з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автомобіля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та в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цей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момент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був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затриманий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потерпілим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громадянином</w:t>
      </w:r>
      <w:proofErr w:type="spellEnd"/>
      <w:r w:rsidRPr="00EC66C6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Ч.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Визначте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вид складу 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кримінального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правопорушення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 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ступенем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суспільної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небезпечності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за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особливістю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конструкції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 xml:space="preserve">, на </w:t>
      </w:r>
      <w:proofErr w:type="spellStart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наслідками</w:t>
      </w:r>
      <w:proofErr w:type="spellEnd"/>
      <w:r w:rsidRPr="00EC66C6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ru-RU"/>
        </w:rPr>
        <w:t>.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Cs/>
          <w:color w:val="343A40"/>
          <w:sz w:val="23"/>
          <w:szCs w:val="23"/>
          <w:lang w:val="uk-UA" w:eastAsia="ru-RU"/>
        </w:rPr>
      </w:pP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lastRenderedPageBreak/>
        <w:t>Відповідь:</w:t>
      </w:r>
      <w:r>
        <w:rPr>
          <w:rFonts w:ascii="Segoe UI" w:eastAsia="Times New Roman" w:hAnsi="Segoe UI" w:cs="Segoe UI"/>
          <w:b/>
          <w:iCs/>
          <w:color w:val="343A40"/>
          <w:sz w:val="23"/>
          <w:szCs w:val="23"/>
          <w:lang w:val="uk-UA" w:eastAsia="ru-RU"/>
        </w:rPr>
        <w:t xml:space="preserve"> </w:t>
      </w: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ступенем суспільної небезпечності: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с</w:t>
      </w:r>
      <w:r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>клад із кваліфікуючими ознаками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особливістю конструкції: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з</w:t>
      </w:r>
      <w:r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>лочинами з матеріальним складом</w:t>
      </w:r>
    </w:p>
    <w:p w:rsidR="00EC66C6" w:rsidRPr="00EC66C6" w:rsidRDefault="00EC66C6" w:rsidP="00EC66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</w:pPr>
      <w:r w:rsidRPr="00EC66C6">
        <w:rPr>
          <w:rFonts w:ascii="Segoe UI" w:eastAsia="Times New Roman" w:hAnsi="Segoe UI" w:cs="Segoe UI"/>
          <w:i/>
          <w:color w:val="343A40"/>
          <w:sz w:val="23"/>
          <w:szCs w:val="23"/>
          <w:lang w:val="uk-UA" w:eastAsia="ru-RU"/>
        </w:rPr>
        <w:t>За наслідками:</w:t>
      </w:r>
      <w:r w:rsidRPr="00EC66C6">
        <w:rPr>
          <w:rFonts w:ascii="Segoe UI" w:eastAsia="Times New Roman" w:hAnsi="Segoe UI" w:cs="Segoe UI"/>
          <w:color w:val="343A40"/>
          <w:sz w:val="23"/>
          <w:szCs w:val="23"/>
          <w:lang w:val="uk-UA" w:eastAsia="ru-RU"/>
        </w:rPr>
        <w:t xml:space="preserve"> матеріальні</w:t>
      </w:r>
    </w:p>
    <w:p w:rsidR="00164C9C" w:rsidRDefault="00164C9C"/>
    <w:sectPr w:rsidR="0016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C6"/>
    <w:rsid w:val="00164C9C"/>
    <w:rsid w:val="00DD3777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7"/>
  </w:style>
  <w:style w:type="paragraph" w:styleId="2">
    <w:name w:val="heading 2"/>
    <w:basedOn w:val="a"/>
    <w:link w:val="20"/>
    <w:uiPriority w:val="9"/>
    <w:qFormat/>
    <w:rsid w:val="00EC66C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6C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66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7"/>
  </w:style>
  <w:style w:type="paragraph" w:styleId="2">
    <w:name w:val="heading 2"/>
    <w:basedOn w:val="a"/>
    <w:link w:val="20"/>
    <w:uiPriority w:val="9"/>
    <w:qFormat/>
    <w:rsid w:val="00EC66C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6C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66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2020-12-04T15:18:00Z</dcterms:created>
  <dcterms:modified xsi:type="dcterms:W3CDTF">2020-12-04T15:22:00Z</dcterms:modified>
</cp:coreProperties>
</file>