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21"/>
          <w:szCs w:val="21"/>
          <w:highlight w:val="white"/>
          <w:rtl w:val="0"/>
        </w:rPr>
        <w:t xml:space="preserve">Знание в Кубе: три причины, по которым мы продвигаемся только через успешных людей </w:t>
      </w:r>
      <w:r w:rsidDel="00000000" w:rsidR="00000000" w:rsidRPr="00000000">
        <w:rPr>
          <w:rFonts w:ascii="Arial Unicode MS" w:cs="Arial Unicode MS" w:eastAsia="Arial Unicode MS" w:hAnsi="Arial Unicode MS"/>
          <w:color w:val="262626"/>
          <w:sz w:val="21"/>
          <w:szCs w:val="21"/>
          <w:highlight w:val="white"/>
          <w:rtl w:val="0"/>
        </w:rPr>
        <w:t xml:space="preserve">✨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  <w:rtl w:val="0"/>
        </w:rPr>
        <w:t xml:space="preserve">⠀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  <w:rtl w:val="0"/>
        </w:rPr>
        <w:t xml:space="preserve">Главная особенность образовательной площадки Знание в Кубе – это успешные спикеры, у которых действительно есть чему научиться. Согласитесь, что знания и опыт лучше перенимать от того, кто уже добился признания в своем деле 🏆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  <w:rtl w:val="0"/>
        </w:rPr>
        <w:t xml:space="preserve">⠀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  <w:rtl w:val="0"/>
        </w:rPr>
        <w:t xml:space="preserve">Во-первых, успешному человеку вы уже доверяете на подсознательном уровне. Это не «кот в мешке» из армии непонятных «ноунеймов», а тот кто знает, о чем он говорит и чему он учит 🤘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  <w:rtl w:val="0"/>
        </w:rPr>
        <w:t xml:space="preserve">⠀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  <w:rtl w:val="0"/>
        </w:rPr>
        <w:t xml:space="preserve">Во-вторых, успешные люди в большинстве своем отличные ораторы с врожденной харизмой. На них интересно смотреть, их просто приятно слушать, а значит и знания усваиваются лучше 😉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  <w:rtl w:val="0"/>
        </w:rPr>
        <w:t xml:space="preserve">⠀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62626"/>
          <w:sz w:val="21"/>
          <w:szCs w:val="21"/>
          <w:highlight w:val="white"/>
          <w:rtl w:val="0"/>
        </w:rPr>
        <w:t xml:space="preserve">В-третьих, такой спикер не даст вам бесполезных знаний. Все, чему он учит, было проверено на его личном опыте. Логично, что раз он уже успешен – значит знания полезные, а его метод обучения точно работает! ⭐️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