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AFEE" w14:textId="1D071C8B" w:rsidR="00AB6216" w:rsidRPr="00AB6216" w:rsidRDefault="00AB6216" w:rsidP="00AB6216">
      <w:pPr>
        <w:spacing w:line="0" w:lineRule="atLeast"/>
        <w:ind w:right="20"/>
        <w:jc w:val="center"/>
        <w:rPr>
          <w:bCs/>
          <w:spacing w:val="20"/>
          <w:sz w:val="24"/>
          <w:szCs w:val="24"/>
          <w:lang w:val="en-GB"/>
        </w:rPr>
      </w:pPr>
      <w:r w:rsidRPr="00AB6216">
        <w:rPr>
          <w:bCs/>
          <w:spacing w:val="20"/>
          <w:sz w:val="24"/>
          <w:szCs w:val="24"/>
          <w:lang w:val="en-GB"/>
        </w:rPr>
        <w:t>[</w:t>
      </w:r>
      <w:r>
        <w:rPr>
          <w:bCs/>
          <w:spacing w:val="20"/>
          <w:sz w:val="24"/>
          <w:szCs w:val="24"/>
          <w:lang w:val="en-GB"/>
        </w:rPr>
        <w:t>ORIGINAL DOCUMENT EXTRACT</w:t>
      </w:r>
      <w:r w:rsidRPr="00AB6216">
        <w:rPr>
          <w:bCs/>
          <w:spacing w:val="20"/>
          <w:sz w:val="24"/>
          <w:szCs w:val="24"/>
          <w:lang w:val="en-GB"/>
        </w:rPr>
        <w:t>]</w:t>
      </w:r>
    </w:p>
    <w:p w14:paraId="520684D1" w14:textId="77777777" w:rsidR="00AB6216" w:rsidRPr="00AB6216" w:rsidRDefault="00AB6216" w:rsidP="00AB6216">
      <w:pPr>
        <w:spacing w:line="0" w:lineRule="atLeast"/>
        <w:ind w:right="20"/>
        <w:jc w:val="center"/>
        <w:rPr>
          <w:b/>
          <w:sz w:val="22"/>
          <w:lang w:val="en-GB"/>
        </w:rPr>
      </w:pPr>
    </w:p>
    <w:p w14:paraId="28E8BCF4" w14:textId="4CFA096E" w:rsidR="00AB6216" w:rsidRDefault="00AB6216" w:rsidP="00AB6216">
      <w:pPr>
        <w:spacing w:line="0" w:lineRule="atLeast"/>
        <w:ind w:right="20"/>
        <w:jc w:val="center"/>
        <w:rPr>
          <w:b/>
          <w:sz w:val="22"/>
        </w:rPr>
      </w:pPr>
      <w:r>
        <w:rPr>
          <w:b/>
          <w:sz w:val="22"/>
        </w:rPr>
        <w:t>TAKING OF CETACEANS, DOLPHINARIA AND QUASI-DOLPHINARIA:</w:t>
      </w:r>
    </w:p>
    <w:p w14:paraId="03A59717" w14:textId="77777777" w:rsidR="00AB6216" w:rsidRDefault="00AB6216" w:rsidP="00AB6216">
      <w:pPr>
        <w:spacing w:line="1" w:lineRule="exact"/>
        <w:rPr>
          <w:rFonts w:ascii="Times New Roman" w:eastAsia="Times New Roman" w:hAnsi="Times New Roman"/>
        </w:rPr>
      </w:pPr>
    </w:p>
    <w:p w14:paraId="02A1F48C" w14:textId="77777777" w:rsidR="00AB6216" w:rsidRDefault="00AB6216" w:rsidP="00AB6216">
      <w:pPr>
        <w:spacing w:line="0" w:lineRule="atLeast"/>
        <w:ind w:right="20"/>
        <w:jc w:val="center"/>
        <w:rPr>
          <w:b/>
          <w:sz w:val="22"/>
        </w:rPr>
      </w:pPr>
      <w:r>
        <w:rPr>
          <w:b/>
          <w:sz w:val="22"/>
        </w:rPr>
        <w:t>A LEGAL ANALYSIS RELATING TO ACCOBAMS PARTIES</w:t>
      </w:r>
    </w:p>
    <w:p w14:paraId="1A2F5243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24739F0C" w14:textId="77777777" w:rsidR="00AB6216" w:rsidRDefault="00AB6216" w:rsidP="00AB6216">
      <w:pPr>
        <w:spacing w:line="391" w:lineRule="exact"/>
        <w:rPr>
          <w:rFonts w:ascii="Times New Roman" w:eastAsia="Times New Roman" w:hAnsi="Times New Roman"/>
        </w:rPr>
      </w:pPr>
    </w:p>
    <w:p w14:paraId="02A95D83" w14:textId="77777777" w:rsidR="00AB6216" w:rsidRDefault="00AB6216" w:rsidP="00AB6216">
      <w:pPr>
        <w:spacing w:line="0" w:lineRule="atLeast"/>
        <w:rPr>
          <w:b/>
          <w:sz w:val="22"/>
          <w:u w:val="single"/>
        </w:rPr>
      </w:pPr>
      <w:proofErr w:type="spellStart"/>
      <w:r>
        <w:rPr>
          <w:b/>
          <w:sz w:val="22"/>
          <w:u w:val="single"/>
        </w:rPr>
        <w:t>Note</w:t>
      </w:r>
      <w:proofErr w:type="spellEnd"/>
      <w:r>
        <w:rPr>
          <w:b/>
          <w:sz w:val="22"/>
          <w:u w:val="single"/>
        </w:rPr>
        <w:t xml:space="preserve"> </w:t>
      </w:r>
      <w:proofErr w:type="spellStart"/>
      <w:r>
        <w:rPr>
          <w:b/>
          <w:sz w:val="22"/>
          <w:u w:val="single"/>
        </w:rPr>
        <w:t>of</w:t>
      </w:r>
      <w:proofErr w:type="spellEnd"/>
      <w:r>
        <w:rPr>
          <w:b/>
          <w:sz w:val="22"/>
          <w:u w:val="single"/>
        </w:rPr>
        <w:t xml:space="preserve"> </w:t>
      </w:r>
      <w:proofErr w:type="spellStart"/>
      <w:r>
        <w:rPr>
          <w:b/>
          <w:sz w:val="22"/>
          <w:u w:val="single"/>
        </w:rPr>
        <w:t>the</w:t>
      </w:r>
      <w:proofErr w:type="spellEnd"/>
      <w:r>
        <w:rPr>
          <w:b/>
          <w:sz w:val="22"/>
          <w:u w:val="single"/>
        </w:rPr>
        <w:t xml:space="preserve"> </w:t>
      </w:r>
      <w:proofErr w:type="spellStart"/>
      <w:r>
        <w:rPr>
          <w:b/>
          <w:sz w:val="22"/>
          <w:u w:val="single"/>
        </w:rPr>
        <w:t>Secretariat</w:t>
      </w:r>
      <w:proofErr w:type="spellEnd"/>
    </w:p>
    <w:p w14:paraId="36752F60" w14:textId="77777777" w:rsidR="00AB6216" w:rsidRDefault="00AB6216" w:rsidP="00AB6216">
      <w:pPr>
        <w:spacing w:line="102" w:lineRule="exact"/>
        <w:rPr>
          <w:rFonts w:ascii="Times New Roman" w:eastAsia="Times New Roman" w:hAnsi="Times New Roman"/>
        </w:rPr>
      </w:pPr>
    </w:p>
    <w:p w14:paraId="48A745FA" w14:textId="77777777" w:rsidR="00AB6216" w:rsidRDefault="00AB6216" w:rsidP="00AB6216">
      <w:pPr>
        <w:spacing w:line="279" w:lineRule="auto"/>
        <w:jc w:val="both"/>
        <w:rPr>
          <w:sz w:val="22"/>
        </w:rPr>
      </w:pPr>
      <w:proofErr w:type="spellStart"/>
      <w:r>
        <w:rPr>
          <w:sz w:val="22"/>
        </w:rPr>
        <w:t>During</w:t>
      </w:r>
      <w:proofErr w:type="spellEnd"/>
      <w:r>
        <w:rPr>
          <w:sz w:val="22"/>
        </w:rPr>
        <w:t xml:space="preserve"> MOP6 (</w:t>
      </w:r>
      <w:proofErr w:type="spellStart"/>
      <w:r>
        <w:rPr>
          <w:sz w:val="22"/>
        </w:rPr>
        <w:t>Monaco</w:t>
      </w:r>
      <w:proofErr w:type="spellEnd"/>
      <w:r>
        <w:rPr>
          <w:sz w:val="22"/>
        </w:rPr>
        <w:t xml:space="preserve">, 22-25 </w:t>
      </w:r>
      <w:proofErr w:type="spellStart"/>
      <w:r>
        <w:rPr>
          <w:sz w:val="22"/>
        </w:rPr>
        <w:t>November</w:t>
      </w:r>
      <w:proofErr w:type="spellEnd"/>
      <w:r>
        <w:rPr>
          <w:sz w:val="22"/>
        </w:rPr>
        <w:t xml:space="preserve"> 2016), </w:t>
      </w:r>
      <w:proofErr w:type="spellStart"/>
      <w:r>
        <w:rPr>
          <w:sz w:val="22"/>
        </w:rPr>
        <w:t>Parties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took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note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report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ACCOBAMS </w:t>
      </w:r>
      <w:proofErr w:type="spellStart"/>
      <w:r>
        <w:rPr>
          <w:sz w:val="22"/>
        </w:rPr>
        <w:t>Follow-up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Committee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approved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six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recommendations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contained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especially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Recommendation</w:t>
      </w:r>
      <w:proofErr w:type="spellEnd"/>
      <w:r>
        <w:rPr>
          <w:sz w:val="22"/>
        </w:rPr>
        <w:t xml:space="preserve"> 4 </w:t>
      </w:r>
      <w:proofErr w:type="spellStart"/>
      <w:r>
        <w:rPr>
          <w:sz w:val="22"/>
        </w:rPr>
        <w:t>stating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priority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given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consideration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specific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submissions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general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issues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implementation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follow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up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Recommendations</w:t>
      </w:r>
      <w:proofErr w:type="spellEnd"/>
      <w:r>
        <w:rPr>
          <w:sz w:val="22"/>
        </w:rPr>
        <w:t xml:space="preserve"> 2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3 </w:t>
      </w:r>
      <w:proofErr w:type="spellStart"/>
      <w:r>
        <w:rPr>
          <w:sz w:val="22"/>
        </w:rPr>
        <w:t>request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review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under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Article</w:t>
      </w:r>
      <w:proofErr w:type="spellEnd"/>
      <w:r>
        <w:rPr>
          <w:sz w:val="22"/>
        </w:rPr>
        <w:t xml:space="preserve"> 6, </w:t>
      </w:r>
      <w:proofErr w:type="spellStart"/>
      <w:r>
        <w:rPr>
          <w:sz w:val="22"/>
        </w:rPr>
        <w:t>paragraph</w:t>
      </w:r>
      <w:proofErr w:type="spellEnd"/>
      <w:r>
        <w:rPr>
          <w:sz w:val="22"/>
        </w:rPr>
        <w:t xml:space="preserve"> 1d,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ACCOBAMS </w:t>
      </w:r>
      <w:proofErr w:type="spellStart"/>
      <w:r>
        <w:rPr>
          <w:sz w:val="22"/>
        </w:rPr>
        <w:t>Follow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Procedure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legal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technical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issues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implementation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follow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relating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interactions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between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humans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dolphins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addressed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Resolution</w:t>
      </w:r>
      <w:proofErr w:type="spellEnd"/>
      <w:r>
        <w:rPr>
          <w:sz w:val="22"/>
        </w:rPr>
        <w:t xml:space="preserve"> 3.13 (</w:t>
      </w:r>
      <w:proofErr w:type="spellStart"/>
      <w:r>
        <w:rPr>
          <w:sz w:val="22"/>
        </w:rPr>
        <w:t>Dolphin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interaction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programme</w:t>
      </w:r>
      <w:proofErr w:type="spellEnd"/>
      <w:r>
        <w:rPr>
          <w:sz w:val="22"/>
        </w:rPr>
        <w:t>).</w:t>
      </w:r>
    </w:p>
    <w:p w14:paraId="543458F7" w14:textId="77777777" w:rsidR="00AB6216" w:rsidRDefault="00AB6216" w:rsidP="00AB6216">
      <w:pPr>
        <w:spacing w:line="383" w:lineRule="exact"/>
        <w:rPr>
          <w:rFonts w:ascii="Times New Roman" w:eastAsia="Times New Roman" w:hAnsi="Times New Roman"/>
        </w:rPr>
      </w:pPr>
    </w:p>
    <w:p w14:paraId="7745F111" w14:textId="77777777" w:rsidR="00AB6216" w:rsidRDefault="00AB6216" w:rsidP="00AB6216">
      <w:pPr>
        <w:spacing w:line="273" w:lineRule="auto"/>
        <w:ind w:right="20"/>
        <w:jc w:val="both"/>
        <w:rPr>
          <w:sz w:val="22"/>
        </w:rPr>
      </w:pP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2015/2016,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ACCOBAMS </w:t>
      </w:r>
      <w:proofErr w:type="spellStart"/>
      <w:r>
        <w:rPr>
          <w:sz w:val="22"/>
        </w:rPr>
        <w:t>Permanent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Secretariat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approached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Parties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regarding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captivity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issue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both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dolphinaria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natural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environment</w:t>
      </w:r>
      <w:proofErr w:type="spellEnd"/>
      <w:r>
        <w:rPr>
          <w:sz w:val="22"/>
        </w:rPr>
        <w:t xml:space="preserve"> (“</w:t>
      </w:r>
      <w:proofErr w:type="spellStart"/>
      <w:r>
        <w:rPr>
          <w:sz w:val="22"/>
        </w:rPr>
        <w:t>dolphinaria-like</w:t>
      </w:r>
      <w:proofErr w:type="spellEnd"/>
      <w:r>
        <w:rPr>
          <w:sz w:val="22"/>
        </w:rPr>
        <w:t xml:space="preserve">”).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context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ACCOBAMS </w:t>
      </w:r>
      <w:proofErr w:type="spellStart"/>
      <w:r>
        <w:rPr>
          <w:sz w:val="22"/>
        </w:rPr>
        <w:t>Legal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Expert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updated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report</w:t>
      </w:r>
      <w:proofErr w:type="spellEnd"/>
      <w:r>
        <w:rPr>
          <w:sz w:val="22"/>
        </w:rPr>
        <w:t xml:space="preserve"> “</w:t>
      </w:r>
      <w:proofErr w:type="spellStart"/>
      <w:r>
        <w:rPr>
          <w:sz w:val="22"/>
        </w:rPr>
        <w:t>Taking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cetaceans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dolphinaria</w:t>
      </w:r>
      <w:proofErr w:type="spellEnd"/>
      <w:r>
        <w:rPr>
          <w:sz w:val="22"/>
        </w:rPr>
        <w:t xml:space="preserve">: a </w:t>
      </w:r>
      <w:proofErr w:type="spellStart"/>
      <w:r>
        <w:rPr>
          <w:sz w:val="22"/>
        </w:rPr>
        <w:t>legal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analysis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within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framework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ACCOBAMS”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order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include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“</w:t>
      </w:r>
      <w:proofErr w:type="spellStart"/>
      <w:r>
        <w:rPr>
          <w:sz w:val="22"/>
        </w:rPr>
        <w:t>quasi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dolphinaria</w:t>
      </w:r>
      <w:proofErr w:type="spellEnd"/>
      <w:r>
        <w:rPr>
          <w:sz w:val="22"/>
        </w:rPr>
        <w:t xml:space="preserve">” </w:t>
      </w:r>
      <w:proofErr w:type="spellStart"/>
      <w:r>
        <w:rPr>
          <w:sz w:val="22"/>
        </w:rPr>
        <w:t>together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with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re-introduction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issues</w:t>
      </w:r>
      <w:proofErr w:type="spellEnd"/>
      <w:r>
        <w:rPr>
          <w:sz w:val="22"/>
        </w:rPr>
        <w:t>.</w:t>
      </w:r>
    </w:p>
    <w:p w14:paraId="513E043F" w14:textId="77777777" w:rsidR="00AB6216" w:rsidRDefault="00AB6216" w:rsidP="00AB6216">
      <w:pPr>
        <w:spacing w:line="340" w:lineRule="exact"/>
        <w:rPr>
          <w:rFonts w:ascii="Times New Roman" w:eastAsia="Times New Roman" w:hAnsi="Times New Roman"/>
        </w:rPr>
      </w:pPr>
    </w:p>
    <w:p w14:paraId="5335D474" w14:textId="77777777" w:rsidR="00AB6216" w:rsidRDefault="00AB6216" w:rsidP="00AB6216">
      <w:pPr>
        <w:spacing w:line="0" w:lineRule="atLeast"/>
        <w:rPr>
          <w:sz w:val="22"/>
        </w:rPr>
      </w:pPr>
      <w:proofErr w:type="spellStart"/>
      <w:r>
        <w:rPr>
          <w:sz w:val="22"/>
        </w:rPr>
        <w:t>This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document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legal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analysis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prepared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Professor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Tullio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Scovazzi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Mrs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Ilaria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Tani</w:t>
      </w:r>
      <w:proofErr w:type="spellEnd"/>
      <w:r>
        <w:rPr>
          <w:sz w:val="22"/>
        </w:rPr>
        <w:t>.</w:t>
      </w:r>
    </w:p>
    <w:p w14:paraId="532451BD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33609335" w14:textId="77777777" w:rsidR="00AB6216" w:rsidRDefault="00AB6216" w:rsidP="00AB6216">
      <w:pPr>
        <w:spacing w:line="226" w:lineRule="exact"/>
        <w:rPr>
          <w:rFonts w:ascii="Times New Roman" w:eastAsia="Times New Roman" w:hAnsi="Times New Roman"/>
        </w:rPr>
      </w:pPr>
    </w:p>
    <w:p w14:paraId="1AFC200A" w14:textId="77777777" w:rsidR="00AB6216" w:rsidRDefault="00AB6216" w:rsidP="00AB6216">
      <w:pPr>
        <w:spacing w:line="243" w:lineRule="auto"/>
        <w:ind w:right="20"/>
        <w:jc w:val="both"/>
        <w:rPr>
          <w:i/>
          <w:sz w:val="22"/>
        </w:rPr>
      </w:pPr>
      <w:proofErr w:type="spellStart"/>
      <w:r>
        <w:rPr>
          <w:i/>
          <w:sz w:val="22"/>
        </w:rPr>
        <w:t>The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opinions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expressed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in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this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document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are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those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of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the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author</w:t>
      </w:r>
      <w:proofErr w:type="spellEnd"/>
      <w:r>
        <w:rPr>
          <w:i/>
          <w:sz w:val="22"/>
        </w:rPr>
        <w:t xml:space="preserve">(s) </w:t>
      </w:r>
      <w:proofErr w:type="spellStart"/>
      <w:r>
        <w:rPr>
          <w:i/>
          <w:sz w:val="22"/>
        </w:rPr>
        <w:t>and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do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not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necessarily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represent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the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views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of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the</w:t>
      </w:r>
      <w:proofErr w:type="spellEnd"/>
      <w:r>
        <w:rPr>
          <w:i/>
          <w:sz w:val="22"/>
        </w:rPr>
        <w:t xml:space="preserve"> ACCOBAMS </w:t>
      </w:r>
      <w:proofErr w:type="spellStart"/>
      <w:r>
        <w:rPr>
          <w:i/>
          <w:sz w:val="22"/>
        </w:rPr>
        <w:t>bodies</w:t>
      </w:r>
      <w:proofErr w:type="spellEnd"/>
      <w:r>
        <w:rPr>
          <w:i/>
          <w:sz w:val="22"/>
        </w:rPr>
        <w:t>.</w:t>
      </w:r>
    </w:p>
    <w:p w14:paraId="5565D38F" w14:textId="77777777" w:rsidR="00AB6216" w:rsidRDefault="00AB6216" w:rsidP="00AB6216">
      <w:pPr>
        <w:spacing w:line="243" w:lineRule="auto"/>
        <w:ind w:right="20"/>
        <w:jc w:val="both"/>
        <w:rPr>
          <w:i/>
          <w:sz w:val="22"/>
        </w:rPr>
        <w:sectPr w:rsidR="00AB6216">
          <w:pgSz w:w="11900" w:h="16838"/>
          <w:pgMar w:top="705" w:right="706" w:bottom="147" w:left="720" w:header="0" w:footer="0" w:gutter="0"/>
          <w:cols w:space="0" w:equalWidth="0">
            <w:col w:w="10480"/>
          </w:cols>
          <w:docGrid w:linePitch="360"/>
        </w:sectPr>
      </w:pPr>
    </w:p>
    <w:p w14:paraId="3E71EA11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332D7534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71F61C5C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09AAF8C6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7F168770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1E56C6C8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02149A23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6B69DC05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572AAB92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1B04E545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25DC4AC1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0F2C9AEB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3D3FE3D1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5713967A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2580A016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528A36B2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1B61282D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794F1432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69C6B7CD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07861435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3DC1FBD6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55E71EA0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1E8ED0D2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67EDC2F5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275D1376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38C06345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47AD19E5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56C73923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33E7D07A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5F35AD36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2942E91B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06F56749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0F881106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7201BAD0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4768C123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18C6340F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06C7DCD9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3C70298E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35F6F352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5DE1563F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28B69757" w14:textId="77777777" w:rsidR="00AB6216" w:rsidRDefault="00AB6216" w:rsidP="00AB6216">
      <w:pPr>
        <w:spacing w:line="234" w:lineRule="exact"/>
        <w:rPr>
          <w:rFonts w:ascii="Times New Roman" w:eastAsia="Times New Roman" w:hAnsi="Times New Roman"/>
        </w:rPr>
      </w:pPr>
    </w:p>
    <w:p w14:paraId="347FE198" w14:textId="77777777" w:rsidR="00AB6216" w:rsidRDefault="00AB6216" w:rsidP="00AB6216">
      <w:pPr>
        <w:spacing w:line="0" w:lineRule="atLeast"/>
        <w:ind w:left="10380"/>
        <w:rPr>
          <w:sz w:val="15"/>
        </w:rPr>
        <w:sectPr w:rsidR="00AB6216">
          <w:type w:val="continuous"/>
          <w:pgSz w:w="11900" w:h="16838"/>
          <w:pgMar w:top="705" w:right="706" w:bottom="147" w:left="720" w:header="0" w:footer="0" w:gutter="0"/>
          <w:cols w:space="0" w:equalWidth="0">
            <w:col w:w="10480"/>
          </w:cols>
          <w:docGrid w:linePitch="360"/>
        </w:sectPr>
      </w:pPr>
    </w:p>
    <w:p w14:paraId="3F20D181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  <w:bookmarkStart w:id="0" w:name="page3"/>
      <w:bookmarkEnd w:id="0"/>
    </w:p>
    <w:p w14:paraId="691217F4" w14:textId="77777777" w:rsidR="00AB6216" w:rsidRDefault="00AB6216" w:rsidP="00AB6216">
      <w:pPr>
        <w:spacing w:line="351" w:lineRule="exact"/>
        <w:rPr>
          <w:rFonts w:ascii="Times New Roman" w:eastAsia="Times New Roman" w:hAnsi="Times New Roman"/>
        </w:rPr>
      </w:pPr>
    </w:p>
    <w:p w14:paraId="762DE087" w14:textId="77777777" w:rsidR="00AB6216" w:rsidRDefault="00AB6216" w:rsidP="00AB6216">
      <w:pPr>
        <w:spacing w:line="0" w:lineRule="atLeast"/>
        <w:jc w:val="center"/>
        <w:rPr>
          <w:sz w:val="24"/>
        </w:rPr>
      </w:pPr>
      <w:proofErr w:type="spellStart"/>
      <w:r>
        <w:rPr>
          <w:sz w:val="24"/>
        </w:rPr>
        <w:t>Tullio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Scovazzi</w:t>
      </w:r>
      <w:proofErr w:type="spellEnd"/>
      <w:r>
        <w:rPr>
          <w:sz w:val="24"/>
        </w:rPr>
        <w:t xml:space="preserve"> * - </w:t>
      </w:r>
      <w:proofErr w:type="spellStart"/>
      <w:r>
        <w:rPr>
          <w:sz w:val="24"/>
        </w:rPr>
        <w:t>Ilaria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Tani</w:t>
      </w:r>
      <w:proofErr w:type="spellEnd"/>
      <w:r>
        <w:rPr>
          <w:sz w:val="24"/>
        </w:rPr>
        <w:t xml:space="preserve"> **</w:t>
      </w:r>
    </w:p>
    <w:p w14:paraId="590B82AB" w14:textId="4C525B53" w:rsidR="00AB6216" w:rsidRDefault="00AB6216" w:rsidP="00AB621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283B4786" wp14:editId="39D570BA">
            <wp:simplePos x="0" y="0"/>
            <wp:positionH relativeFrom="column">
              <wp:posOffset>-74295</wp:posOffset>
            </wp:positionH>
            <wp:positionV relativeFrom="paragraph">
              <wp:posOffset>97790</wp:posOffset>
            </wp:positionV>
            <wp:extent cx="6650990" cy="4356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0BC0E" w14:textId="77777777" w:rsidR="00AB6216" w:rsidRDefault="00AB6216" w:rsidP="00AB6216">
      <w:pPr>
        <w:spacing w:line="157" w:lineRule="exact"/>
        <w:rPr>
          <w:rFonts w:ascii="Times New Roman" w:eastAsia="Times New Roman" w:hAnsi="Times New Roman"/>
        </w:rPr>
      </w:pPr>
    </w:p>
    <w:p w14:paraId="165B2813" w14:textId="77777777" w:rsidR="00AB6216" w:rsidRDefault="00AB6216" w:rsidP="00AB6216">
      <w:pPr>
        <w:spacing w:line="0" w:lineRule="atLeast"/>
        <w:jc w:val="center"/>
        <w:rPr>
          <w:b/>
          <w:sz w:val="22"/>
        </w:rPr>
      </w:pPr>
      <w:r>
        <w:rPr>
          <w:b/>
          <w:sz w:val="22"/>
        </w:rPr>
        <w:t>TAKING OF CETACEANS, DOLPHINARIA AND QUASI-DOPLHINARIA:</w:t>
      </w:r>
    </w:p>
    <w:p w14:paraId="421D2337" w14:textId="77777777" w:rsidR="00AB6216" w:rsidRDefault="00AB6216" w:rsidP="00AB6216">
      <w:pPr>
        <w:spacing w:line="53" w:lineRule="exact"/>
        <w:rPr>
          <w:rFonts w:ascii="Times New Roman" w:eastAsia="Times New Roman" w:hAnsi="Times New Roman"/>
        </w:rPr>
      </w:pPr>
    </w:p>
    <w:p w14:paraId="72DCC54D" w14:textId="77777777" w:rsidR="00AB6216" w:rsidRDefault="00AB6216" w:rsidP="00AB6216">
      <w:pPr>
        <w:spacing w:line="0" w:lineRule="atLeast"/>
        <w:jc w:val="center"/>
        <w:rPr>
          <w:rFonts w:ascii="Arial" w:eastAsia="Arial" w:hAnsi="Arial"/>
          <w:sz w:val="22"/>
        </w:rPr>
      </w:pPr>
      <w:r>
        <w:rPr>
          <w:b/>
          <w:sz w:val="22"/>
        </w:rPr>
        <w:t xml:space="preserve">A LEGAL ANALYSIS RELATING TO ACCOBAMS PARTIES </w:t>
      </w:r>
      <w:r>
        <w:rPr>
          <w:rFonts w:ascii="Arial" w:eastAsia="Arial" w:hAnsi="Arial"/>
          <w:sz w:val="22"/>
        </w:rPr>
        <w:t>٭*٭</w:t>
      </w:r>
    </w:p>
    <w:p w14:paraId="1A8A1063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3DA371B8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424E6BD2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558B382C" w14:textId="77777777" w:rsidR="00AB6216" w:rsidRDefault="00AB6216" w:rsidP="00AB6216">
      <w:pPr>
        <w:spacing w:line="363" w:lineRule="exact"/>
        <w:rPr>
          <w:rFonts w:ascii="Times New Roman" w:eastAsia="Times New Roman" w:hAnsi="Times New Roman"/>
        </w:rPr>
      </w:pPr>
    </w:p>
    <w:p w14:paraId="58F6C481" w14:textId="77777777" w:rsidR="00AB6216" w:rsidRDefault="00AB6216" w:rsidP="00AB6216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220"/>
        <w:rPr>
          <w:b/>
          <w:sz w:val="22"/>
        </w:rPr>
      </w:pPr>
      <w:proofErr w:type="spellStart"/>
      <w:r>
        <w:rPr>
          <w:b/>
          <w:sz w:val="22"/>
        </w:rPr>
        <w:t>Terms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of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reference</w:t>
      </w:r>
      <w:proofErr w:type="spellEnd"/>
    </w:p>
    <w:p w14:paraId="0DDD5E82" w14:textId="77777777" w:rsidR="00AB6216" w:rsidRDefault="00AB6216" w:rsidP="00AB6216">
      <w:pPr>
        <w:spacing w:line="200" w:lineRule="exact"/>
        <w:rPr>
          <w:b/>
          <w:sz w:val="22"/>
        </w:rPr>
      </w:pPr>
    </w:p>
    <w:p w14:paraId="007F6C4F" w14:textId="77777777" w:rsidR="00AB6216" w:rsidRDefault="00AB6216" w:rsidP="00AB6216">
      <w:pPr>
        <w:spacing w:line="386" w:lineRule="exact"/>
        <w:rPr>
          <w:b/>
          <w:sz w:val="22"/>
        </w:rPr>
      </w:pPr>
    </w:p>
    <w:p w14:paraId="336AC653" w14:textId="77777777" w:rsidR="00AB6216" w:rsidRDefault="00AB6216" w:rsidP="00AB6216">
      <w:pPr>
        <w:numPr>
          <w:ilvl w:val="0"/>
          <w:numId w:val="1"/>
        </w:numPr>
        <w:tabs>
          <w:tab w:val="left" w:pos="220"/>
        </w:tabs>
        <w:spacing w:line="314" w:lineRule="auto"/>
        <w:ind w:left="360" w:right="3900" w:hanging="360"/>
        <w:rPr>
          <w:b/>
          <w:sz w:val="22"/>
        </w:rPr>
      </w:pPr>
      <w:proofErr w:type="spellStart"/>
      <w:r>
        <w:rPr>
          <w:b/>
          <w:sz w:val="22"/>
        </w:rPr>
        <w:t>The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obligations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arising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from</w:t>
      </w:r>
      <w:proofErr w:type="spellEnd"/>
      <w:r>
        <w:rPr>
          <w:b/>
          <w:sz w:val="22"/>
        </w:rPr>
        <w:t xml:space="preserve"> ACCOBAMS </w:t>
      </w:r>
      <w:proofErr w:type="spellStart"/>
      <w:r>
        <w:rPr>
          <w:b/>
          <w:sz w:val="22"/>
        </w:rPr>
        <w:t>and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the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related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instruments</w:t>
      </w:r>
      <w:proofErr w:type="spellEnd"/>
      <w:r>
        <w:rPr>
          <w:b/>
          <w:sz w:val="22"/>
        </w:rPr>
        <w:t xml:space="preserve">: </w:t>
      </w:r>
      <w:r>
        <w:rPr>
          <w:sz w:val="22"/>
        </w:rPr>
        <w:t xml:space="preserve">2.A.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territorial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material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scope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ACCOBAMS;</w:t>
      </w:r>
    </w:p>
    <w:p w14:paraId="22473DC4" w14:textId="77777777" w:rsidR="00AB6216" w:rsidRDefault="00AB6216" w:rsidP="00AB6216">
      <w:pPr>
        <w:spacing w:line="52" w:lineRule="exact"/>
        <w:rPr>
          <w:b/>
          <w:sz w:val="22"/>
        </w:rPr>
      </w:pPr>
    </w:p>
    <w:p w14:paraId="22193E7E" w14:textId="77777777" w:rsidR="00AB6216" w:rsidRDefault="00AB6216" w:rsidP="00AB6216">
      <w:pPr>
        <w:spacing w:line="0" w:lineRule="atLeast"/>
        <w:ind w:left="360"/>
        <w:rPr>
          <w:sz w:val="22"/>
        </w:rPr>
      </w:pPr>
      <w:r>
        <w:rPr>
          <w:sz w:val="22"/>
        </w:rPr>
        <w:t xml:space="preserve">2.B. </w:t>
      </w:r>
      <w:proofErr w:type="spellStart"/>
      <w:r>
        <w:rPr>
          <w:sz w:val="22"/>
        </w:rPr>
        <w:t>Cetaceans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integral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part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marine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ecosystem</w:t>
      </w:r>
      <w:proofErr w:type="spellEnd"/>
      <w:r>
        <w:rPr>
          <w:sz w:val="22"/>
        </w:rPr>
        <w:t>;</w:t>
      </w:r>
    </w:p>
    <w:p w14:paraId="3D7F1F09" w14:textId="77777777" w:rsidR="00AB6216" w:rsidRDefault="00AB6216" w:rsidP="00AB6216">
      <w:pPr>
        <w:spacing w:line="134" w:lineRule="exact"/>
        <w:rPr>
          <w:b/>
          <w:sz w:val="22"/>
        </w:rPr>
      </w:pPr>
    </w:p>
    <w:p w14:paraId="50D66164" w14:textId="77777777" w:rsidR="00AB6216" w:rsidRDefault="00AB6216" w:rsidP="00AB6216">
      <w:pPr>
        <w:spacing w:line="0" w:lineRule="atLeast"/>
        <w:ind w:left="360"/>
        <w:rPr>
          <w:sz w:val="22"/>
        </w:rPr>
      </w:pPr>
      <w:r>
        <w:rPr>
          <w:sz w:val="22"/>
        </w:rPr>
        <w:t xml:space="preserve">2.C.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prohibition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taking</w:t>
      </w:r>
      <w:proofErr w:type="spellEnd"/>
      <w:r>
        <w:rPr>
          <w:sz w:val="22"/>
        </w:rPr>
        <w:t>;</w:t>
      </w:r>
    </w:p>
    <w:p w14:paraId="4B6315A4" w14:textId="77777777" w:rsidR="00AB6216" w:rsidRDefault="00AB6216" w:rsidP="00AB6216">
      <w:pPr>
        <w:spacing w:line="134" w:lineRule="exact"/>
        <w:rPr>
          <w:b/>
          <w:sz w:val="22"/>
        </w:rPr>
      </w:pPr>
    </w:p>
    <w:p w14:paraId="33420607" w14:textId="77777777" w:rsidR="00AB6216" w:rsidRDefault="00AB6216" w:rsidP="00AB6216">
      <w:pPr>
        <w:spacing w:line="0" w:lineRule="atLeast"/>
        <w:ind w:left="360"/>
        <w:rPr>
          <w:sz w:val="22"/>
        </w:rPr>
      </w:pPr>
      <w:r>
        <w:rPr>
          <w:sz w:val="22"/>
        </w:rPr>
        <w:t xml:space="preserve">2.D.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prohibition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trading</w:t>
      </w:r>
      <w:proofErr w:type="spellEnd"/>
      <w:r>
        <w:rPr>
          <w:sz w:val="22"/>
        </w:rPr>
        <w:t>;</w:t>
      </w:r>
    </w:p>
    <w:p w14:paraId="06EDFF08" w14:textId="77777777" w:rsidR="00AB6216" w:rsidRDefault="00AB6216" w:rsidP="00AB6216">
      <w:pPr>
        <w:spacing w:line="134" w:lineRule="exact"/>
        <w:rPr>
          <w:b/>
          <w:sz w:val="22"/>
        </w:rPr>
      </w:pPr>
    </w:p>
    <w:p w14:paraId="735D8A21" w14:textId="77777777" w:rsidR="00AB6216" w:rsidRDefault="00AB6216" w:rsidP="00AB6216">
      <w:pPr>
        <w:spacing w:line="0" w:lineRule="atLeast"/>
        <w:ind w:left="360"/>
        <w:rPr>
          <w:sz w:val="22"/>
        </w:rPr>
      </w:pPr>
      <w:r>
        <w:rPr>
          <w:sz w:val="22"/>
        </w:rPr>
        <w:t xml:space="preserve">2.E. </w:t>
      </w:r>
      <w:proofErr w:type="spellStart"/>
      <w:r>
        <w:rPr>
          <w:sz w:val="22"/>
        </w:rPr>
        <w:t>Threats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posed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cetaceans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human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interactions</w:t>
      </w:r>
      <w:proofErr w:type="spellEnd"/>
      <w:r>
        <w:rPr>
          <w:sz w:val="22"/>
        </w:rPr>
        <w:t>;</w:t>
      </w:r>
    </w:p>
    <w:p w14:paraId="668904FA" w14:textId="77777777" w:rsidR="00AB6216" w:rsidRDefault="00AB6216" w:rsidP="00AB6216">
      <w:pPr>
        <w:spacing w:line="134" w:lineRule="exact"/>
        <w:rPr>
          <w:b/>
          <w:sz w:val="22"/>
        </w:rPr>
      </w:pPr>
    </w:p>
    <w:p w14:paraId="3190E7BA" w14:textId="77777777" w:rsidR="00AB6216" w:rsidRDefault="00AB6216" w:rsidP="00AB6216">
      <w:pPr>
        <w:spacing w:line="0" w:lineRule="atLeast"/>
        <w:ind w:left="360"/>
        <w:rPr>
          <w:sz w:val="22"/>
        </w:rPr>
      </w:pPr>
      <w:r>
        <w:rPr>
          <w:sz w:val="22"/>
        </w:rPr>
        <w:t xml:space="preserve">2.F. </w:t>
      </w:r>
      <w:proofErr w:type="spellStart"/>
      <w:r>
        <w:rPr>
          <w:sz w:val="22"/>
        </w:rPr>
        <w:t>Dolphinaria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quasi-dolphinaria</w:t>
      </w:r>
      <w:proofErr w:type="spellEnd"/>
      <w:r>
        <w:rPr>
          <w:sz w:val="22"/>
        </w:rPr>
        <w:t>;</w:t>
      </w:r>
    </w:p>
    <w:p w14:paraId="1F169C8B" w14:textId="77777777" w:rsidR="00AB6216" w:rsidRDefault="00AB6216" w:rsidP="00AB6216">
      <w:pPr>
        <w:spacing w:line="134" w:lineRule="exact"/>
        <w:rPr>
          <w:b/>
          <w:sz w:val="22"/>
        </w:rPr>
      </w:pPr>
    </w:p>
    <w:p w14:paraId="41804F65" w14:textId="77777777" w:rsidR="00AB6216" w:rsidRDefault="00AB6216" w:rsidP="00AB6216">
      <w:pPr>
        <w:spacing w:line="0" w:lineRule="atLeast"/>
        <w:ind w:left="360"/>
        <w:rPr>
          <w:sz w:val="22"/>
        </w:rPr>
      </w:pPr>
      <w:r>
        <w:rPr>
          <w:sz w:val="22"/>
        </w:rPr>
        <w:t xml:space="preserve">2.G. </w:t>
      </w:r>
      <w:proofErr w:type="spellStart"/>
      <w:r>
        <w:rPr>
          <w:sz w:val="22"/>
        </w:rPr>
        <w:t>Rehabilitation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reintroduction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from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captivity</w:t>
      </w:r>
      <w:proofErr w:type="spellEnd"/>
      <w:r>
        <w:rPr>
          <w:sz w:val="22"/>
        </w:rPr>
        <w:t>;</w:t>
      </w:r>
    </w:p>
    <w:p w14:paraId="7272B9CB" w14:textId="77777777" w:rsidR="00AB6216" w:rsidRDefault="00AB6216" w:rsidP="00AB6216">
      <w:pPr>
        <w:spacing w:line="200" w:lineRule="exact"/>
        <w:rPr>
          <w:b/>
          <w:sz w:val="22"/>
        </w:rPr>
      </w:pPr>
    </w:p>
    <w:p w14:paraId="364E945D" w14:textId="77777777" w:rsidR="00AB6216" w:rsidRDefault="00AB6216" w:rsidP="00AB6216">
      <w:pPr>
        <w:spacing w:line="335" w:lineRule="exact"/>
        <w:rPr>
          <w:b/>
          <w:sz w:val="22"/>
        </w:rPr>
      </w:pPr>
    </w:p>
    <w:p w14:paraId="7F9E71BF" w14:textId="77777777" w:rsidR="00AB6216" w:rsidRDefault="00AB6216" w:rsidP="00AB6216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220"/>
        <w:rPr>
          <w:b/>
          <w:sz w:val="22"/>
        </w:rPr>
      </w:pPr>
      <w:proofErr w:type="spellStart"/>
      <w:r>
        <w:rPr>
          <w:b/>
          <w:sz w:val="22"/>
        </w:rPr>
        <w:t>The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obligations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arising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from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other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legal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instruments</w:t>
      </w:r>
      <w:proofErr w:type="spellEnd"/>
      <w:r>
        <w:rPr>
          <w:b/>
          <w:sz w:val="22"/>
        </w:rPr>
        <w:t>:</w:t>
      </w:r>
    </w:p>
    <w:p w14:paraId="7C7EB4E7" w14:textId="77777777" w:rsidR="00AB6216" w:rsidRDefault="00AB6216" w:rsidP="00AB6216">
      <w:pPr>
        <w:spacing w:line="135" w:lineRule="exact"/>
        <w:rPr>
          <w:rFonts w:ascii="Times New Roman" w:eastAsia="Times New Roman" w:hAnsi="Times New Roman"/>
        </w:rPr>
      </w:pPr>
    </w:p>
    <w:p w14:paraId="23EF0053" w14:textId="77777777" w:rsidR="00AB6216" w:rsidRDefault="00AB6216" w:rsidP="00AB6216">
      <w:pPr>
        <w:spacing w:line="0" w:lineRule="atLeast"/>
        <w:ind w:left="360"/>
        <w:rPr>
          <w:sz w:val="22"/>
        </w:rPr>
      </w:pPr>
      <w:r>
        <w:rPr>
          <w:sz w:val="22"/>
        </w:rPr>
        <w:t xml:space="preserve">3.A.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Convention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conservation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migratory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species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wild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animals</w:t>
      </w:r>
      <w:proofErr w:type="spellEnd"/>
      <w:r>
        <w:rPr>
          <w:sz w:val="22"/>
        </w:rPr>
        <w:t>;</w:t>
      </w:r>
    </w:p>
    <w:p w14:paraId="22EC341D" w14:textId="77777777" w:rsidR="00AB6216" w:rsidRDefault="00AB6216" w:rsidP="00AB6216">
      <w:pPr>
        <w:spacing w:line="135" w:lineRule="exact"/>
        <w:rPr>
          <w:rFonts w:ascii="Times New Roman" w:eastAsia="Times New Roman" w:hAnsi="Times New Roman"/>
        </w:rPr>
      </w:pPr>
    </w:p>
    <w:p w14:paraId="5A980CB5" w14:textId="77777777" w:rsidR="00AB6216" w:rsidRDefault="00AB6216" w:rsidP="00AB6216">
      <w:pPr>
        <w:spacing w:line="0" w:lineRule="atLeast"/>
        <w:ind w:left="360"/>
        <w:rPr>
          <w:sz w:val="22"/>
        </w:rPr>
      </w:pPr>
      <w:r>
        <w:rPr>
          <w:sz w:val="22"/>
        </w:rPr>
        <w:t xml:space="preserve">3.B.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Convention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conservation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European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wildlife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natural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habitats</w:t>
      </w:r>
      <w:proofErr w:type="spellEnd"/>
      <w:r>
        <w:rPr>
          <w:sz w:val="22"/>
        </w:rPr>
        <w:t>;</w:t>
      </w:r>
    </w:p>
    <w:p w14:paraId="162C633C" w14:textId="77777777" w:rsidR="00AB6216" w:rsidRDefault="00AB6216" w:rsidP="00AB6216">
      <w:pPr>
        <w:spacing w:line="135" w:lineRule="exact"/>
        <w:rPr>
          <w:rFonts w:ascii="Times New Roman" w:eastAsia="Times New Roman" w:hAnsi="Times New Roman"/>
        </w:rPr>
      </w:pPr>
    </w:p>
    <w:p w14:paraId="3FE7A25B" w14:textId="77777777" w:rsidR="00AB6216" w:rsidRDefault="00AB6216" w:rsidP="00AB6216">
      <w:pPr>
        <w:spacing w:line="0" w:lineRule="atLeast"/>
        <w:ind w:left="360"/>
        <w:rPr>
          <w:sz w:val="22"/>
        </w:rPr>
      </w:pPr>
      <w:r>
        <w:rPr>
          <w:sz w:val="22"/>
        </w:rPr>
        <w:t xml:space="preserve">3.C.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Convention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international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trade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endangered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species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wild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fauna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flora</w:t>
      </w:r>
      <w:proofErr w:type="spellEnd"/>
      <w:r>
        <w:rPr>
          <w:sz w:val="22"/>
        </w:rPr>
        <w:t>;</w:t>
      </w:r>
    </w:p>
    <w:p w14:paraId="344C4152" w14:textId="77777777" w:rsidR="00AB6216" w:rsidRDefault="00AB6216" w:rsidP="00AB6216">
      <w:pPr>
        <w:spacing w:line="135" w:lineRule="exact"/>
        <w:rPr>
          <w:rFonts w:ascii="Times New Roman" w:eastAsia="Times New Roman" w:hAnsi="Times New Roman"/>
        </w:rPr>
      </w:pPr>
    </w:p>
    <w:p w14:paraId="6C72AC78" w14:textId="77777777" w:rsidR="00AB6216" w:rsidRDefault="00AB6216" w:rsidP="00AB6216">
      <w:pPr>
        <w:spacing w:line="0" w:lineRule="atLeast"/>
        <w:ind w:left="360"/>
        <w:rPr>
          <w:sz w:val="22"/>
        </w:rPr>
      </w:pPr>
      <w:r>
        <w:rPr>
          <w:sz w:val="22"/>
        </w:rPr>
        <w:t xml:space="preserve">3.D.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Protocol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concerning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specially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protected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areas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biological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diversity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Mediterranean</w:t>
      </w:r>
      <w:proofErr w:type="spellEnd"/>
      <w:r>
        <w:rPr>
          <w:sz w:val="22"/>
        </w:rPr>
        <w:t>;</w:t>
      </w:r>
    </w:p>
    <w:p w14:paraId="064F74F4" w14:textId="77777777" w:rsidR="00AB6216" w:rsidRDefault="00AB6216" w:rsidP="00AB6216">
      <w:pPr>
        <w:spacing w:line="132" w:lineRule="exact"/>
        <w:rPr>
          <w:rFonts w:ascii="Times New Roman" w:eastAsia="Times New Roman" w:hAnsi="Times New Roman"/>
        </w:rPr>
      </w:pPr>
    </w:p>
    <w:p w14:paraId="314663C6" w14:textId="77777777" w:rsidR="00AB6216" w:rsidRDefault="00AB6216" w:rsidP="00AB6216">
      <w:pPr>
        <w:spacing w:line="0" w:lineRule="atLeast"/>
        <w:ind w:left="360"/>
        <w:rPr>
          <w:sz w:val="22"/>
        </w:rPr>
      </w:pPr>
      <w:r>
        <w:rPr>
          <w:sz w:val="22"/>
        </w:rPr>
        <w:t xml:space="preserve">3.E.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Black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biodiversity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landscape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conservation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Protocol</w:t>
      </w:r>
      <w:proofErr w:type="spellEnd"/>
      <w:r>
        <w:rPr>
          <w:sz w:val="22"/>
        </w:rPr>
        <w:t>;</w:t>
      </w:r>
    </w:p>
    <w:p w14:paraId="746E6011" w14:textId="77777777" w:rsidR="00AB6216" w:rsidRDefault="00AB6216" w:rsidP="00AB6216">
      <w:pPr>
        <w:spacing w:line="135" w:lineRule="exact"/>
        <w:rPr>
          <w:rFonts w:ascii="Times New Roman" w:eastAsia="Times New Roman" w:hAnsi="Times New Roman"/>
        </w:rPr>
      </w:pPr>
    </w:p>
    <w:p w14:paraId="496874C5" w14:textId="77777777" w:rsidR="00AB6216" w:rsidRDefault="00AB6216" w:rsidP="00AB6216">
      <w:pPr>
        <w:spacing w:line="0" w:lineRule="atLeast"/>
        <w:ind w:left="360"/>
        <w:rPr>
          <w:sz w:val="22"/>
        </w:rPr>
      </w:pPr>
      <w:r>
        <w:rPr>
          <w:sz w:val="22"/>
        </w:rPr>
        <w:t xml:space="preserve">3.F.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European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Union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legislation</w:t>
      </w:r>
      <w:proofErr w:type="spellEnd"/>
      <w:r>
        <w:rPr>
          <w:sz w:val="22"/>
        </w:rPr>
        <w:t>;</w:t>
      </w:r>
    </w:p>
    <w:p w14:paraId="47548880" w14:textId="77777777" w:rsidR="00AB6216" w:rsidRDefault="00AB6216" w:rsidP="00AB6216">
      <w:pPr>
        <w:spacing w:line="337" w:lineRule="exact"/>
        <w:rPr>
          <w:rFonts w:ascii="Times New Roman" w:eastAsia="Times New Roman" w:hAnsi="Times New Roman"/>
        </w:rPr>
      </w:pPr>
    </w:p>
    <w:p w14:paraId="110575AA" w14:textId="77777777" w:rsidR="00AB6216" w:rsidRDefault="00AB6216" w:rsidP="00AB6216">
      <w:pPr>
        <w:numPr>
          <w:ilvl w:val="0"/>
          <w:numId w:val="2"/>
        </w:numPr>
        <w:tabs>
          <w:tab w:val="left" w:pos="220"/>
        </w:tabs>
        <w:spacing w:line="0" w:lineRule="atLeast"/>
        <w:ind w:left="220" w:hanging="220"/>
        <w:rPr>
          <w:b/>
          <w:sz w:val="22"/>
        </w:rPr>
      </w:pPr>
      <w:proofErr w:type="spellStart"/>
      <w:r>
        <w:rPr>
          <w:b/>
          <w:sz w:val="22"/>
        </w:rPr>
        <w:t>The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consequences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of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the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breach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of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the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relevant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international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obligations</w:t>
      </w:r>
      <w:proofErr w:type="spellEnd"/>
      <w:r>
        <w:rPr>
          <w:b/>
          <w:sz w:val="22"/>
        </w:rPr>
        <w:t>;</w:t>
      </w:r>
    </w:p>
    <w:p w14:paraId="197FA219" w14:textId="77777777" w:rsidR="00AB6216" w:rsidRDefault="00AB6216" w:rsidP="00AB6216">
      <w:pPr>
        <w:spacing w:line="200" w:lineRule="exact"/>
        <w:rPr>
          <w:b/>
          <w:sz w:val="22"/>
        </w:rPr>
      </w:pPr>
    </w:p>
    <w:p w14:paraId="507A5A6B" w14:textId="77777777" w:rsidR="00AB6216" w:rsidRDefault="00AB6216" w:rsidP="00AB6216">
      <w:pPr>
        <w:spacing w:line="335" w:lineRule="exact"/>
        <w:rPr>
          <w:b/>
          <w:sz w:val="22"/>
        </w:rPr>
      </w:pPr>
    </w:p>
    <w:p w14:paraId="00EBA3B3" w14:textId="77777777" w:rsidR="00AB6216" w:rsidRDefault="00AB6216" w:rsidP="00AB6216">
      <w:pPr>
        <w:numPr>
          <w:ilvl w:val="0"/>
          <w:numId w:val="2"/>
        </w:numPr>
        <w:tabs>
          <w:tab w:val="left" w:pos="220"/>
        </w:tabs>
        <w:spacing w:line="0" w:lineRule="atLeast"/>
        <w:ind w:left="220" w:hanging="220"/>
        <w:rPr>
          <w:b/>
          <w:sz w:val="22"/>
        </w:rPr>
      </w:pPr>
      <w:proofErr w:type="spellStart"/>
      <w:r>
        <w:rPr>
          <w:b/>
          <w:sz w:val="22"/>
        </w:rPr>
        <w:t>Conclusions</w:t>
      </w:r>
      <w:proofErr w:type="spellEnd"/>
      <w:r>
        <w:rPr>
          <w:b/>
          <w:sz w:val="22"/>
        </w:rPr>
        <w:t>.</w:t>
      </w:r>
    </w:p>
    <w:p w14:paraId="6AF3C1EC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246367E8" w14:textId="77777777" w:rsidR="00AB6216" w:rsidRDefault="00AB6216" w:rsidP="00AB6216">
      <w:pPr>
        <w:spacing w:line="338" w:lineRule="exact"/>
        <w:rPr>
          <w:rFonts w:ascii="Times New Roman" w:eastAsia="Times New Roman" w:hAnsi="Times New Roman"/>
        </w:rPr>
      </w:pPr>
    </w:p>
    <w:p w14:paraId="14960753" w14:textId="77777777" w:rsidR="00AB6216" w:rsidRDefault="00AB6216" w:rsidP="00AB6216">
      <w:pPr>
        <w:spacing w:line="0" w:lineRule="atLeast"/>
        <w:rPr>
          <w:sz w:val="19"/>
        </w:rPr>
      </w:pPr>
      <w:proofErr w:type="spellStart"/>
      <w:r>
        <w:rPr>
          <w:b/>
          <w:sz w:val="22"/>
        </w:rPr>
        <w:t>Annex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Table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participation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ACCOBAMS </w:t>
      </w:r>
      <w:proofErr w:type="spellStart"/>
      <w:r>
        <w:rPr>
          <w:sz w:val="22"/>
        </w:rPr>
        <w:t>Parties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other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relevant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treaties</w:t>
      </w:r>
      <w:proofErr w:type="spellEnd"/>
      <w:r>
        <w:rPr>
          <w:sz w:val="19"/>
        </w:rPr>
        <w:t>.</w:t>
      </w:r>
    </w:p>
    <w:p w14:paraId="5AA3BF09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56E4ABD6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1DA11C57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48C90926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6370E4F3" w14:textId="77777777" w:rsidR="00AB6216" w:rsidRDefault="00AB6216" w:rsidP="00AB6216">
      <w:pPr>
        <w:spacing w:line="311" w:lineRule="exact"/>
        <w:rPr>
          <w:rFonts w:ascii="Times New Roman" w:eastAsia="Times New Roman" w:hAnsi="Times New Roman"/>
        </w:rPr>
      </w:pPr>
    </w:p>
    <w:p w14:paraId="7D0C1890" w14:textId="77777777" w:rsidR="00AB6216" w:rsidRDefault="00AB6216" w:rsidP="00AB6216">
      <w:pPr>
        <w:numPr>
          <w:ilvl w:val="0"/>
          <w:numId w:val="3"/>
        </w:numPr>
        <w:tabs>
          <w:tab w:val="left" w:pos="140"/>
        </w:tabs>
        <w:spacing w:line="0" w:lineRule="atLeast"/>
        <w:ind w:left="140" w:hanging="140"/>
      </w:pPr>
      <w:proofErr w:type="spellStart"/>
      <w:r>
        <w:t>Professor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Milano-Bicocca</w:t>
      </w:r>
      <w:proofErr w:type="spellEnd"/>
      <w:r>
        <w:t xml:space="preserve">, </w:t>
      </w:r>
      <w:proofErr w:type="spellStart"/>
      <w:r>
        <w:t>Milan</w:t>
      </w:r>
      <w:proofErr w:type="spellEnd"/>
      <w:r>
        <w:t xml:space="preserve">, </w:t>
      </w:r>
      <w:proofErr w:type="spellStart"/>
      <w:r>
        <w:t>Italy</w:t>
      </w:r>
      <w:proofErr w:type="spellEnd"/>
      <w:r>
        <w:t>.</w:t>
      </w:r>
    </w:p>
    <w:p w14:paraId="541747CB" w14:textId="77777777" w:rsidR="00AB6216" w:rsidRDefault="00AB6216" w:rsidP="00AB6216">
      <w:pPr>
        <w:spacing w:line="1" w:lineRule="exact"/>
      </w:pPr>
    </w:p>
    <w:p w14:paraId="1C2A1DC6" w14:textId="77777777" w:rsidR="00AB6216" w:rsidRDefault="00AB6216" w:rsidP="00AB6216">
      <w:pPr>
        <w:numPr>
          <w:ilvl w:val="0"/>
          <w:numId w:val="4"/>
        </w:numPr>
        <w:tabs>
          <w:tab w:val="left" w:pos="240"/>
        </w:tabs>
        <w:spacing w:line="0" w:lineRule="atLeast"/>
        <w:ind w:left="240" w:hanging="240"/>
      </w:pPr>
      <w:proofErr w:type="spellStart"/>
      <w:r>
        <w:t>Research</w:t>
      </w:r>
      <w:proofErr w:type="spellEnd"/>
      <w:r>
        <w:t xml:space="preserve"> </w:t>
      </w:r>
      <w:proofErr w:type="spellStart"/>
      <w:r>
        <w:t>fellow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Milano-Bicocca</w:t>
      </w:r>
      <w:proofErr w:type="spellEnd"/>
      <w:r>
        <w:t>.</w:t>
      </w:r>
    </w:p>
    <w:p w14:paraId="16C50568" w14:textId="77777777" w:rsidR="00AB6216" w:rsidRDefault="00AB6216" w:rsidP="00AB6216">
      <w:pPr>
        <w:spacing w:line="47" w:lineRule="exact"/>
        <w:rPr>
          <w:rFonts w:ascii="Times New Roman" w:eastAsia="Times New Roman" w:hAnsi="Times New Roman"/>
        </w:rPr>
      </w:pPr>
    </w:p>
    <w:p w14:paraId="1F6D1D68" w14:textId="77777777" w:rsidR="00AB6216" w:rsidRDefault="00AB6216" w:rsidP="00AB6216">
      <w:pPr>
        <w:spacing w:line="224" w:lineRule="auto"/>
        <w:ind w:right="80"/>
      </w:pPr>
      <w:r>
        <w:t>***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6 </w:t>
      </w:r>
      <w:proofErr w:type="spellStart"/>
      <w:r>
        <w:t>November</w:t>
      </w:r>
      <w:proofErr w:type="spellEnd"/>
      <w:r>
        <w:t xml:space="preserve"> 2017. </w:t>
      </w:r>
      <w:proofErr w:type="spellStart"/>
      <w:r>
        <w:t>It</w:t>
      </w:r>
      <w:proofErr w:type="spellEnd"/>
      <w:r>
        <w:t xml:space="preserve"> </w:t>
      </w:r>
      <w:proofErr w:type="spellStart"/>
      <w:r>
        <w:t>solely</w:t>
      </w:r>
      <w:proofErr w:type="spellEnd"/>
      <w:r>
        <w:t xml:space="preserve"> </w:t>
      </w:r>
      <w:proofErr w:type="spellStart"/>
      <w:r>
        <w:t>reflects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Mrs</w:t>
      </w:r>
      <w:proofErr w:type="spellEnd"/>
      <w:r>
        <w:t xml:space="preserve">. </w:t>
      </w:r>
      <w:proofErr w:type="spellStart"/>
      <w:r>
        <w:t>Joan</w:t>
      </w:r>
      <w:proofErr w:type="spellEnd"/>
      <w:r>
        <w:t xml:space="preserve"> </w:t>
      </w:r>
      <w:proofErr w:type="spellStart"/>
      <w:r>
        <w:t>Gonzalvo</w:t>
      </w:r>
      <w:proofErr w:type="spellEnd"/>
      <w:r>
        <w:t xml:space="preserve">, </w:t>
      </w:r>
      <w:proofErr w:type="spellStart"/>
      <w:r>
        <w:t>Mr</w:t>
      </w:r>
      <w:proofErr w:type="spellEnd"/>
      <w:r>
        <w:t xml:space="preserve">. </w:t>
      </w:r>
      <w:proofErr w:type="spellStart"/>
      <w:r>
        <w:t>Giuseppe</w:t>
      </w:r>
      <w:proofErr w:type="spellEnd"/>
      <w:r>
        <w:t xml:space="preserve"> </w:t>
      </w:r>
      <w:proofErr w:type="spellStart"/>
      <w:r>
        <w:t>Notarbartolo</w:t>
      </w:r>
      <w:proofErr w:type="spellEnd"/>
      <w:r>
        <w:t xml:space="preserve"> di </w:t>
      </w:r>
      <w:proofErr w:type="spellStart"/>
      <w:r>
        <w:t>Sciara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Mr</w:t>
      </w:r>
      <w:proofErr w:type="spellEnd"/>
      <w:r>
        <w:t xml:space="preserve">. </w:t>
      </w:r>
      <w:proofErr w:type="spellStart"/>
      <w:r>
        <w:t>Patrick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Klaveren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>.</w:t>
      </w:r>
    </w:p>
    <w:p w14:paraId="380DE238" w14:textId="77777777" w:rsidR="00AB6216" w:rsidRDefault="00AB6216" w:rsidP="00AB6216">
      <w:pPr>
        <w:spacing w:line="224" w:lineRule="auto"/>
        <w:ind w:right="80"/>
        <w:sectPr w:rsidR="00AB6216">
          <w:pgSz w:w="11900" w:h="16838"/>
          <w:pgMar w:top="705" w:right="726" w:bottom="147" w:left="720" w:header="0" w:footer="0" w:gutter="0"/>
          <w:cols w:space="0" w:equalWidth="0">
            <w:col w:w="10460"/>
          </w:cols>
          <w:docGrid w:linePitch="360"/>
        </w:sectPr>
      </w:pPr>
    </w:p>
    <w:p w14:paraId="07AC441B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76BD7767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50849F0C" w14:textId="77777777" w:rsidR="00AB6216" w:rsidRDefault="00AB6216" w:rsidP="00AB6216">
      <w:pPr>
        <w:spacing w:line="0" w:lineRule="atLeast"/>
        <w:ind w:left="10380"/>
        <w:rPr>
          <w:sz w:val="15"/>
        </w:rPr>
        <w:sectPr w:rsidR="00AB6216">
          <w:type w:val="continuous"/>
          <w:pgSz w:w="11900" w:h="16838"/>
          <w:pgMar w:top="705" w:right="726" w:bottom="147" w:left="720" w:header="0" w:footer="0" w:gutter="0"/>
          <w:cols w:space="0" w:equalWidth="0">
            <w:col w:w="10460"/>
          </w:cols>
          <w:docGrid w:linePitch="360"/>
        </w:sectPr>
      </w:pPr>
    </w:p>
    <w:p w14:paraId="614BFBA4" w14:textId="77777777" w:rsidR="00AB6216" w:rsidRDefault="00AB6216" w:rsidP="00AB6216">
      <w:pPr>
        <w:spacing w:line="229" w:lineRule="exact"/>
        <w:rPr>
          <w:rFonts w:ascii="Times New Roman" w:eastAsia="Times New Roman" w:hAnsi="Times New Roman"/>
        </w:rPr>
      </w:pPr>
      <w:bookmarkStart w:id="1" w:name="page4"/>
      <w:bookmarkEnd w:id="1"/>
    </w:p>
    <w:p w14:paraId="3B01BA3D" w14:textId="77777777" w:rsidR="00AB6216" w:rsidRDefault="00AB6216" w:rsidP="00AB6216">
      <w:pPr>
        <w:spacing w:line="0" w:lineRule="atLeast"/>
        <w:ind w:right="20"/>
        <w:jc w:val="center"/>
        <w:rPr>
          <w:b/>
          <w:sz w:val="24"/>
        </w:rPr>
      </w:pPr>
      <w:r>
        <w:rPr>
          <w:b/>
          <w:sz w:val="24"/>
        </w:rPr>
        <w:t xml:space="preserve">1. </w:t>
      </w:r>
      <w:proofErr w:type="spellStart"/>
      <w:r>
        <w:rPr>
          <w:b/>
          <w:sz w:val="24"/>
        </w:rPr>
        <w:t>Terms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Reference</w:t>
      </w:r>
      <w:proofErr w:type="spellEnd"/>
    </w:p>
    <w:p w14:paraId="4C529312" w14:textId="77777777" w:rsidR="00AB6216" w:rsidRDefault="00AB6216" w:rsidP="00AB6216">
      <w:pPr>
        <w:spacing w:line="195" w:lineRule="exact"/>
        <w:rPr>
          <w:rFonts w:ascii="Times New Roman" w:eastAsia="Times New Roman" w:hAnsi="Times New Roman"/>
        </w:rPr>
      </w:pPr>
    </w:p>
    <w:p w14:paraId="16E0FC5F" w14:textId="4961FC65" w:rsidR="00AB6216" w:rsidRDefault="00AB6216" w:rsidP="00AB6216">
      <w:pPr>
        <w:spacing w:line="319" w:lineRule="auto"/>
        <w:jc w:val="both"/>
        <w:rPr>
          <w:sz w:val="22"/>
        </w:rPr>
      </w:pP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first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version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study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entitled</w:t>
      </w:r>
      <w:proofErr w:type="spellEnd"/>
      <w:r>
        <w:rPr>
          <w:sz w:val="22"/>
        </w:rPr>
        <w:t xml:space="preserve"> “</w:t>
      </w:r>
      <w:proofErr w:type="spellStart"/>
      <w:r>
        <w:rPr>
          <w:sz w:val="22"/>
        </w:rPr>
        <w:t>Taking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Cetaceans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Dolphinaria</w:t>
      </w:r>
      <w:proofErr w:type="spellEnd"/>
      <w:r>
        <w:rPr>
          <w:sz w:val="22"/>
        </w:rPr>
        <w:t xml:space="preserve">: A </w:t>
      </w:r>
      <w:proofErr w:type="spellStart"/>
      <w:r>
        <w:rPr>
          <w:sz w:val="22"/>
        </w:rPr>
        <w:t>Legal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Analysis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within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Framework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ACCOBAMS”, </w:t>
      </w:r>
      <w:proofErr w:type="spellStart"/>
      <w:r>
        <w:rPr>
          <w:sz w:val="22"/>
        </w:rPr>
        <w:t>was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submitted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Fifth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Meeting</w:t>
      </w:r>
      <w:proofErr w:type="spellEnd"/>
      <w:r>
        <w:rPr>
          <w:sz w:val="22"/>
        </w:rPr>
        <w:t xml:space="preserve"> (2013)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Parties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Agreement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Conservation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Cetaceans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Black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Mediterranean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Contiguous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Atlantic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Area</w:t>
      </w:r>
      <w:proofErr w:type="spellEnd"/>
      <w:r>
        <w:rPr>
          <w:sz w:val="22"/>
        </w:rPr>
        <w:t xml:space="preserve">. A </w:t>
      </w:r>
      <w:proofErr w:type="spellStart"/>
      <w:r>
        <w:rPr>
          <w:sz w:val="22"/>
        </w:rPr>
        <w:t>second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version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entitled</w:t>
      </w:r>
      <w:proofErr w:type="spellEnd"/>
      <w:r>
        <w:rPr>
          <w:sz w:val="22"/>
        </w:rPr>
        <w:t xml:space="preserve"> “</w:t>
      </w:r>
      <w:proofErr w:type="spellStart"/>
      <w:r>
        <w:rPr>
          <w:sz w:val="22"/>
        </w:rPr>
        <w:t>Taking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Cetaceans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Dolphinaria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Quasi-Dolphinaria</w:t>
      </w:r>
      <w:proofErr w:type="spellEnd"/>
      <w:r>
        <w:rPr>
          <w:sz w:val="22"/>
        </w:rPr>
        <w:t xml:space="preserve">: A </w:t>
      </w:r>
      <w:proofErr w:type="spellStart"/>
      <w:r>
        <w:rPr>
          <w:sz w:val="22"/>
        </w:rPr>
        <w:t>Legal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Analysis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within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Framework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ACCOBAMS”, </w:t>
      </w:r>
      <w:proofErr w:type="spellStart"/>
      <w:r>
        <w:rPr>
          <w:sz w:val="22"/>
        </w:rPr>
        <w:t>which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included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considerations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quasi-dolphinaria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reintroduction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issue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was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prepared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Sixth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Meeting</w:t>
      </w:r>
      <w:proofErr w:type="spellEnd"/>
      <w:r>
        <w:rPr>
          <w:sz w:val="22"/>
        </w:rPr>
        <w:t xml:space="preserve"> (2016)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ACCOBAMS </w:t>
      </w:r>
      <w:proofErr w:type="spellStart"/>
      <w:r>
        <w:rPr>
          <w:sz w:val="22"/>
        </w:rPr>
        <w:t>Parties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This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present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version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study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includes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some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additions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takes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account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number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comments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received</w:t>
      </w:r>
      <w:proofErr w:type="spellEnd"/>
      <w:r>
        <w:rPr>
          <w:sz w:val="22"/>
        </w:rPr>
        <w:t>.</w:t>
      </w:r>
    </w:p>
    <w:p w14:paraId="503E9264" w14:textId="77777777" w:rsidR="00AB6216" w:rsidRDefault="00AB6216" w:rsidP="00AB6216">
      <w:pPr>
        <w:spacing w:line="78" w:lineRule="exact"/>
        <w:rPr>
          <w:rFonts w:ascii="Times New Roman" w:eastAsia="Times New Roman" w:hAnsi="Times New Roman"/>
        </w:rPr>
      </w:pPr>
    </w:p>
    <w:p w14:paraId="0B82E3EB" w14:textId="6FDE2C3E" w:rsidR="00AB6216" w:rsidRDefault="00AB6216" w:rsidP="00AB6216">
      <w:pPr>
        <w:spacing w:line="349" w:lineRule="auto"/>
        <w:jc w:val="both"/>
        <w:rPr>
          <w:sz w:val="22"/>
        </w:rPr>
      </w:pPr>
      <w:proofErr w:type="spellStart"/>
      <w:r>
        <w:rPr>
          <w:sz w:val="22"/>
        </w:rPr>
        <w:t>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recalled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introductory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remark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concerns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regards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question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taking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cetaceans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dolphinaria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already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expressed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ACCOBAMS </w:t>
      </w:r>
      <w:proofErr w:type="spellStart"/>
      <w:r>
        <w:rPr>
          <w:sz w:val="22"/>
        </w:rPr>
        <w:t>Scientific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Committee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remarked</w:t>
      </w:r>
      <w:proofErr w:type="spellEnd"/>
      <w:r>
        <w:rPr>
          <w:sz w:val="22"/>
        </w:rPr>
        <w:t xml:space="preserve"> “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illegality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removals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cetaceans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from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Black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Sea</w:t>
      </w:r>
      <w:proofErr w:type="spellEnd"/>
      <w:r>
        <w:rPr>
          <w:sz w:val="22"/>
        </w:rPr>
        <w:t xml:space="preserve">”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called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for</w:t>
      </w:r>
      <w:proofErr w:type="spellEnd"/>
      <w:r>
        <w:rPr>
          <w:sz w:val="22"/>
        </w:rPr>
        <w:t xml:space="preserve"> “</w:t>
      </w:r>
      <w:proofErr w:type="spellStart"/>
      <w:r>
        <w:rPr>
          <w:sz w:val="22"/>
        </w:rPr>
        <w:t>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inventory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thorough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assessment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individual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identity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bottlenose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dolphins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kept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captivity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means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genetic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morphological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photo</w:t>
      </w:r>
      <w:proofErr w:type="spellEnd"/>
      <w:r>
        <w:rPr>
          <w:sz w:val="22"/>
        </w:rPr>
        <w:t xml:space="preserve">-ID </w:t>
      </w:r>
      <w:proofErr w:type="spellStart"/>
      <w:r>
        <w:rPr>
          <w:sz w:val="22"/>
        </w:rPr>
        <w:t>methods</w:t>
      </w:r>
      <w:proofErr w:type="spellEnd"/>
      <w:r>
        <w:rPr>
          <w:sz w:val="22"/>
        </w:rPr>
        <w:t xml:space="preserve">”, </w:t>
      </w:r>
      <w:proofErr w:type="spellStart"/>
      <w:r>
        <w:rPr>
          <w:sz w:val="22"/>
        </w:rPr>
        <w:t>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well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provision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“</w:t>
      </w:r>
      <w:proofErr w:type="spellStart"/>
      <w:r>
        <w:rPr>
          <w:sz w:val="22"/>
        </w:rPr>
        <w:t>appropriate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administrative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measures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order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prevent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substitution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dolphins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captivity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from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animals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taken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from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wild</w:t>
      </w:r>
      <w:proofErr w:type="spellEnd"/>
      <w:r>
        <w:rPr>
          <w:sz w:val="22"/>
        </w:rPr>
        <w:t>” (</w:t>
      </w:r>
      <w:proofErr w:type="spellStart"/>
      <w:r>
        <w:rPr>
          <w:sz w:val="22"/>
        </w:rPr>
        <w:t>Recommendation</w:t>
      </w:r>
      <w:proofErr w:type="spellEnd"/>
      <w:r>
        <w:rPr>
          <w:sz w:val="22"/>
        </w:rPr>
        <w:t xml:space="preserve"> 8.2, </w:t>
      </w:r>
      <w:proofErr w:type="spellStart"/>
      <w:r>
        <w:rPr>
          <w:sz w:val="22"/>
        </w:rPr>
        <w:t>adopted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November</w:t>
      </w:r>
      <w:proofErr w:type="spellEnd"/>
      <w:r>
        <w:rPr>
          <w:sz w:val="22"/>
        </w:rPr>
        <w:t xml:space="preserve"> 2012). </w:t>
      </w:r>
      <w:proofErr w:type="spellStart"/>
      <w:r>
        <w:rPr>
          <w:sz w:val="22"/>
        </w:rPr>
        <w:t>Following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recommendations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Scientific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Committee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November</w:t>
      </w:r>
      <w:proofErr w:type="spellEnd"/>
      <w:r>
        <w:rPr>
          <w:sz w:val="22"/>
        </w:rPr>
        <w:t xml:space="preserve"> 2013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Fifth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Meeting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ACCOBAMS </w:t>
      </w:r>
      <w:proofErr w:type="spellStart"/>
      <w:r>
        <w:rPr>
          <w:sz w:val="22"/>
        </w:rPr>
        <w:t>Parties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adopted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Resolution</w:t>
      </w:r>
      <w:proofErr w:type="spellEnd"/>
      <w:r>
        <w:rPr>
          <w:sz w:val="22"/>
        </w:rPr>
        <w:t xml:space="preserve"> 5.14, </w:t>
      </w:r>
      <w:proofErr w:type="spellStart"/>
      <w:r>
        <w:rPr>
          <w:sz w:val="22"/>
        </w:rPr>
        <w:t>entitled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Removals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Bottlenose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Dolphins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Black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Sea</w:t>
      </w:r>
      <w:proofErr w:type="spellEnd"/>
      <w:r>
        <w:rPr>
          <w:sz w:val="22"/>
        </w:rPr>
        <w:t xml:space="preserve"> (</w:t>
      </w:r>
      <w:proofErr w:type="spellStart"/>
      <w:r>
        <w:rPr>
          <w:i/>
          <w:sz w:val="22"/>
        </w:rPr>
        <w:t>Tursiops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truncatus</w:t>
      </w:r>
      <w:proofErr w:type="spellEnd"/>
      <w:r>
        <w:rPr>
          <w:sz w:val="22"/>
        </w:rPr>
        <w:t>).</w:t>
      </w:r>
    </w:p>
    <w:p w14:paraId="376E5CD4" w14:textId="77777777" w:rsidR="00AB6216" w:rsidRDefault="00AB6216" w:rsidP="00AB6216">
      <w:pPr>
        <w:spacing w:line="11" w:lineRule="exact"/>
        <w:rPr>
          <w:rFonts w:ascii="Times New Roman" w:eastAsia="Times New Roman" w:hAnsi="Times New Roman"/>
        </w:rPr>
      </w:pPr>
    </w:p>
    <w:p w14:paraId="1FEBFC2C" w14:textId="3E5F7A28" w:rsidR="00AB6216" w:rsidRDefault="00AB6216" w:rsidP="00AB6216">
      <w:pPr>
        <w:spacing w:line="335" w:lineRule="auto"/>
        <w:jc w:val="both"/>
        <w:rPr>
          <w:sz w:val="22"/>
        </w:rPr>
      </w:pP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analysis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developed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hereunder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outlines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obligations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arising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from</w:t>
      </w:r>
      <w:proofErr w:type="spellEnd"/>
      <w:r>
        <w:rPr>
          <w:sz w:val="22"/>
        </w:rPr>
        <w:t xml:space="preserve"> ACCOBAMS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relevant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issue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taking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cetaceans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dolphinaria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quasi-dolphinaria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However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subject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matter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cannot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considered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isolation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from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obligations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forth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other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legal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instruments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also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binding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number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ACCOBAMS </w:t>
      </w:r>
      <w:proofErr w:type="spellStart"/>
      <w:r>
        <w:rPr>
          <w:sz w:val="22"/>
        </w:rPr>
        <w:t>Parties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When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taking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decisions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within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ACCOBAMS </w:t>
      </w:r>
      <w:proofErr w:type="spellStart"/>
      <w:r>
        <w:rPr>
          <w:sz w:val="22"/>
        </w:rPr>
        <w:t>meetings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Parties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take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account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also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obligations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arising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from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other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treaties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applicable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them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This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explains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paper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takes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consideration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also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other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treaties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relevant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field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cetacean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conservation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almost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half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present</w:t>
      </w:r>
      <w:proofErr w:type="spellEnd"/>
      <w:r>
        <w:rPr>
          <w:sz w:val="22"/>
        </w:rPr>
        <w:t xml:space="preserve"> ACCOBAMS </w:t>
      </w:r>
      <w:proofErr w:type="spellStart"/>
      <w:r>
        <w:rPr>
          <w:sz w:val="22"/>
        </w:rPr>
        <w:t>Parties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members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European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Union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relevant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legislation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regional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economic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integration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organization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also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considered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important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element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current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legal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regime</w:t>
      </w:r>
      <w:proofErr w:type="spellEnd"/>
      <w:r>
        <w:rPr>
          <w:sz w:val="22"/>
        </w:rPr>
        <w:t>.</w:t>
      </w:r>
    </w:p>
    <w:p w14:paraId="3B35DE94" w14:textId="650F355D" w:rsidR="00AB6216" w:rsidRDefault="00AB6216" w:rsidP="00AB621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33A25F" wp14:editId="38E5DAFF">
                <wp:simplePos x="0" y="0"/>
                <wp:positionH relativeFrom="column">
                  <wp:posOffset>0</wp:posOffset>
                </wp:positionH>
                <wp:positionV relativeFrom="paragraph">
                  <wp:posOffset>1757680</wp:posOffset>
                </wp:positionV>
                <wp:extent cx="1829435" cy="0"/>
                <wp:effectExtent l="9525" t="11430" r="889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6345C" id="Straight Connector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8.4pt" to="144.0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" strokeweight=".16931mm"/>
            </w:pict>
          </mc:Fallback>
        </mc:AlternateContent>
      </w:r>
    </w:p>
    <w:p w14:paraId="1CA8AF41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0E582223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6622642A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50699C16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7E95E95B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58264171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4EA96FC8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55321C6E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7E797A74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155BB3D2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7A0E468B" w14:textId="77777777" w:rsidR="00AB6216" w:rsidRDefault="00AB6216" w:rsidP="00AB6216">
      <w:pPr>
        <w:spacing w:line="200" w:lineRule="exact"/>
        <w:rPr>
          <w:rFonts w:ascii="Times New Roman" w:eastAsia="Times New Roman" w:hAnsi="Times New Roman"/>
        </w:rPr>
      </w:pPr>
    </w:p>
    <w:p w14:paraId="52D882CC" w14:textId="717EBE71" w:rsidR="00AB6216" w:rsidRPr="00AB6216" w:rsidRDefault="00AB6216" w:rsidP="00AB6216">
      <w:pPr>
        <w:rPr>
          <w:sz w:val="26"/>
          <w:vertAlign w:val="superscript"/>
        </w:rPr>
      </w:pPr>
    </w:p>
    <w:p w14:paraId="265CD808" w14:textId="571EA86C" w:rsidR="00AB6216" w:rsidRDefault="00AB6216" w:rsidP="00AB6216">
      <w:pPr>
        <w:tabs>
          <w:tab w:val="left" w:pos="120"/>
        </w:tabs>
        <w:spacing w:line="185" w:lineRule="auto"/>
        <w:rPr>
          <w:sz w:val="26"/>
          <w:vertAlign w:val="superscript"/>
        </w:rPr>
      </w:pPr>
    </w:p>
    <w:p w14:paraId="4E3008AE" w14:textId="77777777" w:rsidR="00AB6216" w:rsidRDefault="00AB6216" w:rsidP="00AB6216">
      <w:pPr>
        <w:tabs>
          <w:tab w:val="left" w:pos="120"/>
        </w:tabs>
        <w:spacing w:line="185" w:lineRule="auto"/>
        <w:rPr>
          <w:sz w:val="26"/>
          <w:vertAlign w:val="superscript"/>
        </w:rPr>
      </w:pPr>
    </w:p>
    <w:p w14:paraId="69CC48EF" w14:textId="1D762F24" w:rsidR="00B65E9F" w:rsidRDefault="00B65E9F" w:rsidP="00AB6216"/>
    <w:p w14:paraId="59FB2868" w14:textId="1349FDB1" w:rsidR="00AB6216" w:rsidRDefault="00AB6216" w:rsidP="00AB6216"/>
    <w:p w14:paraId="189635F6" w14:textId="55A0DCDB" w:rsidR="00AB6216" w:rsidRDefault="00AB6216" w:rsidP="00AB6216"/>
    <w:p w14:paraId="1745AA22" w14:textId="669C9565" w:rsidR="00AB6216" w:rsidRDefault="00AB6216" w:rsidP="00AB6216"/>
    <w:p w14:paraId="201C22A1" w14:textId="72693348" w:rsidR="00AB6216" w:rsidRDefault="00AB6216" w:rsidP="00AB6216"/>
    <w:p w14:paraId="48E14538" w14:textId="05295D20" w:rsidR="00AB6216" w:rsidRDefault="00AB6216" w:rsidP="00AB6216"/>
    <w:p w14:paraId="1EE637B2" w14:textId="00F35B72" w:rsidR="00AB6216" w:rsidRDefault="00AB6216" w:rsidP="00AB6216"/>
    <w:p w14:paraId="60C26755" w14:textId="77777777" w:rsidR="00AB6216" w:rsidRDefault="00AB6216" w:rsidP="00AB6216">
      <w:pPr>
        <w:spacing w:line="0" w:lineRule="atLeast"/>
        <w:ind w:right="20"/>
        <w:jc w:val="center"/>
        <w:rPr>
          <w:b/>
          <w:sz w:val="24"/>
        </w:rPr>
      </w:pPr>
    </w:p>
    <w:p w14:paraId="6AA04514" w14:textId="2B7F3698" w:rsidR="00AB6216" w:rsidRPr="00AB6216" w:rsidRDefault="00AB6216" w:rsidP="00AB6216">
      <w:pPr>
        <w:spacing w:line="0" w:lineRule="atLeast"/>
        <w:ind w:right="20"/>
        <w:jc w:val="center"/>
        <w:rPr>
          <w:bCs/>
          <w:spacing w:val="20"/>
          <w:sz w:val="24"/>
          <w:szCs w:val="24"/>
          <w:lang w:val="en-GB"/>
        </w:rPr>
      </w:pPr>
      <w:r w:rsidRPr="00AB6216">
        <w:rPr>
          <w:bCs/>
          <w:spacing w:val="20"/>
          <w:sz w:val="24"/>
          <w:szCs w:val="24"/>
          <w:lang w:val="en-GB"/>
        </w:rPr>
        <w:lastRenderedPageBreak/>
        <w:t>[</w:t>
      </w:r>
      <w:r>
        <w:rPr>
          <w:bCs/>
          <w:spacing w:val="20"/>
          <w:sz w:val="24"/>
          <w:szCs w:val="24"/>
          <w:lang w:val="ru-RU"/>
        </w:rPr>
        <w:t>ПЕРЕКЛАД</w:t>
      </w:r>
      <w:r w:rsidRPr="00AB6216">
        <w:rPr>
          <w:bCs/>
          <w:spacing w:val="20"/>
          <w:sz w:val="24"/>
          <w:szCs w:val="24"/>
          <w:lang w:val="en-GB"/>
        </w:rPr>
        <w:t>]</w:t>
      </w:r>
    </w:p>
    <w:p w14:paraId="1AFD9822" w14:textId="77777777" w:rsidR="00AB6216" w:rsidRDefault="00AB6216" w:rsidP="00AB6216">
      <w:pPr>
        <w:spacing w:line="0" w:lineRule="atLeast"/>
        <w:ind w:right="20"/>
        <w:jc w:val="center"/>
        <w:rPr>
          <w:b/>
          <w:sz w:val="24"/>
        </w:rPr>
      </w:pPr>
    </w:p>
    <w:p w14:paraId="1814A1BC" w14:textId="1D0319B3" w:rsidR="00AB6216" w:rsidRPr="00D11822" w:rsidRDefault="00AB6216" w:rsidP="00AB6216">
      <w:pPr>
        <w:spacing w:line="0" w:lineRule="atLeast"/>
        <w:ind w:right="20"/>
        <w:jc w:val="center"/>
        <w:rPr>
          <w:b/>
          <w:sz w:val="24"/>
        </w:rPr>
      </w:pPr>
      <w:r>
        <w:rPr>
          <w:b/>
          <w:sz w:val="24"/>
        </w:rPr>
        <w:t>ВИДОБУТОК</w:t>
      </w:r>
      <w:r w:rsidRPr="00D11822">
        <w:rPr>
          <w:b/>
          <w:sz w:val="24"/>
        </w:rPr>
        <w:t xml:space="preserve"> КИТОПОДІБНИХ, ДЕЛЬФІНАРІЇ ТА КВАЗІ-ДЕЛЬФІНАРІЇ:</w:t>
      </w:r>
      <w:r>
        <w:rPr>
          <w:b/>
          <w:sz w:val="24"/>
        </w:rPr>
        <w:br/>
      </w:r>
      <w:r w:rsidRPr="00D11822">
        <w:rPr>
          <w:b/>
          <w:sz w:val="24"/>
        </w:rPr>
        <w:t>ЮРИДИЧНИЙ АНАЛІЗ, ЩО СТОСУЄТЬСЯ СТОРІН ACCOBAMS</w:t>
      </w:r>
    </w:p>
    <w:p w14:paraId="6A8D6011" w14:textId="77777777" w:rsidR="00AB6216" w:rsidRPr="00EA22C2" w:rsidRDefault="00AB6216" w:rsidP="00AB6216">
      <w:pPr>
        <w:spacing w:before="240" w:line="0" w:lineRule="atLeast"/>
        <w:ind w:right="23"/>
        <w:rPr>
          <w:b/>
          <w:sz w:val="24"/>
          <w:u w:val="single"/>
        </w:rPr>
      </w:pPr>
      <w:r w:rsidRPr="00EA22C2">
        <w:rPr>
          <w:b/>
          <w:sz w:val="24"/>
          <w:u w:val="single"/>
        </w:rPr>
        <w:t>Записка Секретаріату</w:t>
      </w:r>
    </w:p>
    <w:p w14:paraId="4CAB63E9" w14:textId="77777777" w:rsidR="00AB6216" w:rsidRPr="00AB6216" w:rsidRDefault="00AB6216" w:rsidP="00AB6216">
      <w:pPr>
        <w:spacing w:before="120" w:line="360" w:lineRule="auto"/>
        <w:jc w:val="both"/>
        <w:rPr>
          <w:sz w:val="22"/>
          <w:szCs w:val="22"/>
        </w:rPr>
      </w:pPr>
      <w:r w:rsidRPr="00AB6216">
        <w:rPr>
          <w:sz w:val="22"/>
          <w:szCs w:val="22"/>
        </w:rPr>
        <w:t>Під час проведення 6-го засідання Ради Сторін (Монако, 22-25 листопада 2016 р.) Сторони взяли до відома звіт Комітету з подальшої діяльності ACCOBAMS та затвердили шість рекомендацій, що містяться в ньому, зокрема, Рекомендацію 4, в якій зазначається, що пріоритет надається розгляду конкретних подань, а потім загальним питанням щодо впровадження та подальшої діяльності. Рекомендації 2 та 3 пропонують переглянути, відповідно до пункту 1,d статті 6 Процедури подальшої діяльності ACCOBAMS, юридичні та технічні питання впровадження та подальшої діяльності щодо взаємодії між людьми та дельфінами, представлені у Резолюції 3.13 (Програма взаємодії з дельфінами).</w:t>
      </w:r>
    </w:p>
    <w:p w14:paraId="6624C586" w14:textId="77777777" w:rsidR="00AB6216" w:rsidRPr="00AB6216" w:rsidRDefault="00AB6216" w:rsidP="00AB6216">
      <w:pPr>
        <w:spacing w:before="120" w:line="360" w:lineRule="auto"/>
        <w:jc w:val="both"/>
        <w:rPr>
          <w:sz w:val="22"/>
          <w:szCs w:val="22"/>
        </w:rPr>
      </w:pPr>
      <w:r w:rsidRPr="00AB6216">
        <w:rPr>
          <w:sz w:val="22"/>
          <w:szCs w:val="22"/>
        </w:rPr>
        <w:t>У 2015/2016 рр. до Постійного секретаріату ACCOBAMS зверталися неурядові організації та Сторони з приводу проблем утримання в неволі як у дельфінаріях, так і в природному середовищі (</w:t>
      </w:r>
      <w:r w:rsidRPr="00AB6216">
        <w:rPr>
          <w:sz w:val="22"/>
          <w:szCs w:val="22"/>
          <w:lang w:val="ru-RU"/>
        </w:rPr>
        <w:t>«</w:t>
      </w:r>
      <w:r w:rsidRPr="00AB6216">
        <w:rPr>
          <w:sz w:val="22"/>
          <w:szCs w:val="22"/>
        </w:rPr>
        <w:t>подібному до дельфінарію</w:t>
      </w:r>
      <w:r w:rsidRPr="00AB6216">
        <w:rPr>
          <w:sz w:val="22"/>
          <w:szCs w:val="22"/>
          <w:lang w:val="ru-RU"/>
        </w:rPr>
        <w:t>»</w:t>
      </w:r>
      <w:r w:rsidRPr="00AB6216">
        <w:rPr>
          <w:sz w:val="22"/>
          <w:szCs w:val="22"/>
        </w:rPr>
        <w:t>). У зв’язку з цим експерт ACCOBAMS з юридичних питань оновив доповідь «Видобуток китоподібних та дельфінарії: правовий аналіз в рамках ACCOBAMS», включивши до неї «квазі-дельфінарії», а також питання реінтродукції.</w:t>
      </w:r>
    </w:p>
    <w:p w14:paraId="2BBA8464" w14:textId="77777777" w:rsidR="00AB6216" w:rsidRPr="00AB6216" w:rsidRDefault="00AB6216" w:rsidP="00AB6216">
      <w:pPr>
        <w:spacing w:before="120" w:line="360" w:lineRule="auto"/>
        <w:jc w:val="both"/>
        <w:rPr>
          <w:sz w:val="22"/>
          <w:szCs w:val="22"/>
        </w:rPr>
      </w:pPr>
      <w:r w:rsidRPr="00AB6216">
        <w:rPr>
          <w:sz w:val="22"/>
          <w:szCs w:val="22"/>
        </w:rPr>
        <w:t xml:space="preserve">Цей документ являє собою юридичний аналіз, підготовлений професором </w:t>
      </w:r>
      <w:proofErr w:type="spellStart"/>
      <w:r w:rsidRPr="00AB6216">
        <w:rPr>
          <w:sz w:val="22"/>
          <w:szCs w:val="22"/>
        </w:rPr>
        <w:t>Тулліо</w:t>
      </w:r>
      <w:proofErr w:type="spellEnd"/>
      <w:r w:rsidRPr="00AB6216">
        <w:rPr>
          <w:sz w:val="22"/>
          <w:szCs w:val="22"/>
        </w:rPr>
        <w:t xml:space="preserve"> </w:t>
      </w:r>
      <w:proofErr w:type="spellStart"/>
      <w:r w:rsidRPr="00AB6216">
        <w:rPr>
          <w:sz w:val="22"/>
          <w:szCs w:val="22"/>
        </w:rPr>
        <w:t>Сковацці</w:t>
      </w:r>
      <w:proofErr w:type="spellEnd"/>
      <w:r w:rsidRPr="00AB6216">
        <w:rPr>
          <w:sz w:val="22"/>
          <w:szCs w:val="22"/>
        </w:rPr>
        <w:t xml:space="preserve"> та пані Іларією Тані.</w:t>
      </w:r>
    </w:p>
    <w:p w14:paraId="2D75BA95" w14:textId="77777777" w:rsidR="00AB6216" w:rsidRPr="00AB6216" w:rsidRDefault="00AB6216" w:rsidP="00AB6216">
      <w:pPr>
        <w:spacing w:before="120" w:line="360" w:lineRule="auto"/>
        <w:jc w:val="both"/>
        <w:rPr>
          <w:sz w:val="22"/>
          <w:szCs w:val="22"/>
        </w:rPr>
      </w:pPr>
      <w:r w:rsidRPr="00AB6216">
        <w:rPr>
          <w:sz w:val="22"/>
          <w:szCs w:val="22"/>
        </w:rPr>
        <w:t>Думки, висловлені в цьому документі, належать авторові(</w:t>
      </w:r>
      <w:proofErr w:type="spellStart"/>
      <w:r w:rsidRPr="00AB6216">
        <w:rPr>
          <w:sz w:val="22"/>
          <w:szCs w:val="22"/>
        </w:rPr>
        <w:t>ам</w:t>
      </w:r>
      <w:proofErr w:type="spellEnd"/>
      <w:r w:rsidRPr="00AB6216">
        <w:rPr>
          <w:sz w:val="22"/>
          <w:szCs w:val="22"/>
        </w:rPr>
        <w:t>) і не завжди відображають погляди органів ACCOBAMS.</w:t>
      </w:r>
    </w:p>
    <w:p w14:paraId="1883C032" w14:textId="77777777" w:rsidR="00AB6216" w:rsidRPr="00AB6216" w:rsidRDefault="00AB6216" w:rsidP="00AB6216">
      <w:pPr>
        <w:rPr>
          <w:sz w:val="22"/>
          <w:szCs w:val="22"/>
        </w:rPr>
      </w:pPr>
      <w:r w:rsidRPr="00AB6216">
        <w:rPr>
          <w:sz w:val="22"/>
          <w:szCs w:val="22"/>
        </w:rPr>
        <w:br w:type="page"/>
      </w:r>
    </w:p>
    <w:p w14:paraId="1170FE61" w14:textId="77777777" w:rsidR="00AB6216" w:rsidRPr="00EA22C2" w:rsidRDefault="00AB6216" w:rsidP="00AB6216">
      <w:pPr>
        <w:spacing w:after="240" w:line="0" w:lineRule="atLeast"/>
        <w:ind w:right="23"/>
        <w:jc w:val="center"/>
        <w:rPr>
          <w:bCs/>
          <w:sz w:val="24"/>
        </w:rPr>
      </w:pPr>
      <w:proofErr w:type="spellStart"/>
      <w:r w:rsidRPr="00EA22C2">
        <w:rPr>
          <w:bCs/>
          <w:sz w:val="24"/>
        </w:rPr>
        <w:lastRenderedPageBreak/>
        <w:t>Тулліо</w:t>
      </w:r>
      <w:proofErr w:type="spellEnd"/>
      <w:r w:rsidRPr="00EA22C2">
        <w:rPr>
          <w:bCs/>
          <w:sz w:val="24"/>
        </w:rPr>
        <w:t xml:space="preserve"> </w:t>
      </w:r>
      <w:proofErr w:type="spellStart"/>
      <w:r w:rsidRPr="00EA22C2">
        <w:rPr>
          <w:bCs/>
          <w:sz w:val="24"/>
        </w:rPr>
        <w:t>Сковац</w:t>
      </w:r>
      <w:r>
        <w:rPr>
          <w:bCs/>
          <w:sz w:val="24"/>
        </w:rPr>
        <w:t>ці</w:t>
      </w:r>
      <w:proofErr w:type="spellEnd"/>
      <w:r>
        <w:rPr>
          <w:rStyle w:val="FootnoteReference"/>
          <w:bCs/>
          <w:sz w:val="24"/>
        </w:rPr>
        <w:footnoteReference w:customMarkFollows="1" w:id="1"/>
        <w:t>*</w:t>
      </w:r>
      <w:r w:rsidRPr="00EA22C2">
        <w:rPr>
          <w:bCs/>
          <w:sz w:val="24"/>
        </w:rPr>
        <w:t xml:space="preserve"> - Іларія Тані</w:t>
      </w:r>
      <w:r>
        <w:rPr>
          <w:rStyle w:val="FootnoteReference"/>
          <w:bCs/>
          <w:sz w:val="24"/>
        </w:rPr>
        <w:footnoteReference w:customMarkFollows="1" w:id="2"/>
        <w:t>**</w:t>
      </w:r>
    </w:p>
    <w:p w14:paraId="36DB9C44" w14:textId="77777777" w:rsidR="00AB6216" w:rsidRPr="00D11822" w:rsidRDefault="00AB6216" w:rsidP="00AB6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right="20"/>
        <w:jc w:val="center"/>
        <w:rPr>
          <w:b/>
          <w:sz w:val="24"/>
        </w:rPr>
      </w:pPr>
      <w:r>
        <w:rPr>
          <w:b/>
          <w:sz w:val="24"/>
        </w:rPr>
        <w:t>ВИДОБУТОК</w:t>
      </w:r>
      <w:r w:rsidRPr="00D11822">
        <w:rPr>
          <w:b/>
          <w:sz w:val="24"/>
        </w:rPr>
        <w:t xml:space="preserve"> КИТОПОДІБНИХ, ДЕЛЬФІНАРІЇ ТА КВАЗІ-ДЕЛЬФІНАРІЇ:</w:t>
      </w:r>
      <w:r>
        <w:rPr>
          <w:b/>
          <w:sz w:val="24"/>
        </w:rPr>
        <w:br/>
      </w:r>
      <w:r w:rsidRPr="00D11822">
        <w:rPr>
          <w:b/>
          <w:sz w:val="24"/>
        </w:rPr>
        <w:t>ЮРИДИЧНИЙ АНАЛІЗ, ЩО СТОСУЄТЬСЯ СТОРІН ACCOBAMS</w:t>
      </w:r>
      <w:r>
        <w:rPr>
          <w:rStyle w:val="FootnoteReference"/>
          <w:b/>
          <w:sz w:val="24"/>
        </w:rPr>
        <w:footnoteReference w:customMarkFollows="1" w:id="3"/>
        <w:t>***</w:t>
      </w:r>
    </w:p>
    <w:p w14:paraId="2206AC0E" w14:textId="77777777" w:rsidR="00AB6216" w:rsidRDefault="00AB6216" w:rsidP="00AB6216">
      <w:pPr>
        <w:pStyle w:val="ListParagraph"/>
        <w:numPr>
          <w:ilvl w:val="0"/>
          <w:numId w:val="6"/>
        </w:numPr>
        <w:spacing w:before="600" w:line="276" w:lineRule="auto"/>
        <w:ind w:left="284" w:right="23" w:hanging="284"/>
        <w:outlineLvl w:val="0"/>
        <w:rPr>
          <w:b/>
          <w:sz w:val="24"/>
        </w:rPr>
      </w:pPr>
      <w:r w:rsidRPr="007B2BFD">
        <w:rPr>
          <w:b/>
          <w:sz w:val="24"/>
        </w:rPr>
        <w:t>Сфера повноважень</w:t>
      </w:r>
    </w:p>
    <w:p w14:paraId="75035645" w14:textId="77777777" w:rsidR="00AB6216" w:rsidRPr="007B2BFD" w:rsidRDefault="00AB6216" w:rsidP="00AB6216">
      <w:pPr>
        <w:pStyle w:val="ListParagraph"/>
        <w:spacing w:before="480" w:line="276" w:lineRule="auto"/>
        <w:ind w:left="284" w:right="23" w:hanging="284"/>
        <w:contextualSpacing w:val="0"/>
        <w:outlineLvl w:val="0"/>
        <w:rPr>
          <w:b/>
          <w:sz w:val="24"/>
        </w:rPr>
      </w:pPr>
      <w:r w:rsidRPr="007B2BFD">
        <w:rPr>
          <w:b/>
          <w:sz w:val="24"/>
        </w:rPr>
        <w:t xml:space="preserve">2. Зобов'язання, що виникають з ACCOBAMS та пов'язаних з нею інструментів: </w:t>
      </w:r>
    </w:p>
    <w:p w14:paraId="1C119652" w14:textId="77777777" w:rsidR="00AB6216" w:rsidRDefault="00AB6216" w:rsidP="00AB6216">
      <w:pPr>
        <w:pStyle w:val="ListParagraph"/>
        <w:spacing w:line="276" w:lineRule="auto"/>
        <w:ind w:left="567" w:right="23"/>
        <w:outlineLvl w:val="1"/>
        <w:rPr>
          <w:bCs/>
          <w:sz w:val="24"/>
        </w:rPr>
      </w:pPr>
      <w:r w:rsidRPr="00A44921">
        <w:rPr>
          <w:bCs/>
          <w:sz w:val="24"/>
        </w:rPr>
        <w:t>2.A. Територіальна та матеріальна сфера ACCOBAMS;</w:t>
      </w:r>
    </w:p>
    <w:p w14:paraId="69C08800" w14:textId="77777777" w:rsidR="00AB6216" w:rsidRPr="00A44921" w:rsidRDefault="00AB6216" w:rsidP="00AB6216">
      <w:pPr>
        <w:spacing w:line="276" w:lineRule="auto"/>
        <w:ind w:left="567" w:right="23"/>
        <w:outlineLvl w:val="1"/>
        <w:rPr>
          <w:bCs/>
          <w:sz w:val="24"/>
        </w:rPr>
      </w:pPr>
      <w:r w:rsidRPr="00A44921">
        <w:rPr>
          <w:bCs/>
          <w:sz w:val="24"/>
        </w:rPr>
        <w:t>2.В. Китоподібні як складова частина морської екосистеми;</w:t>
      </w:r>
    </w:p>
    <w:p w14:paraId="1A2E5B64" w14:textId="77777777" w:rsidR="00AB6216" w:rsidRPr="00A44921" w:rsidRDefault="00AB6216" w:rsidP="00AB6216">
      <w:pPr>
        <w:spacing w:line="276" w:lineRule="auto"/>
        <w:ind w:left="567" w:right="23"/>
        <w:outlineLvl w:val="1"/>
        <w:rPr>
          <w:bCs/>
          <w:sz w:val="24"/>
        </w:rPr>
      </w:pPr>
      <w:r w:rsidRPr="00A44921">
        <w:rPr>
          <w:bCs/>
          <w:sz w:val="24"/>
        </w:rPr>
        <w:t xml:space="preserve">2.C. Заборона </w:t>
      </w:r>
      <w:r>
        <w:rPr>
          <w:bCs/>
          <w:sz w:val="24"/>
        </w:rPr>
        <w:t>видобутку</w:t>
      </w:r>
      <w:r w:rsidRPr="00A44921">
        <w:rPr>
          <w:bCs/>
          <w:sz w:val="24"/>
        </w:rPr>
        <w:t>;</w:t>
      </w:r>
    </w:p>
    <w:p w14:paraId="7F74DAAC" w14:textId="77777777" w:rsidR="00AB6216" w:rsidRPr="00A44921" w:rsidRDefault="00AB6216" w:rsidP="00AB6216">
      <w:pPr>
        <w:spacing w:line="276" w:lineRule="auto"/>
        <w:ind w:left="567" w:right="23"/>
        <w:outlineLvl w:val="1"/>
        <w:rPr>
          <w:bCs/>
          <w:sz w:val="24"/>
        </w:rPr>
      </w:pPr>
      <w:r w:rsidRPr="00A44921">
        <w:rPr>
          <w:bCs/>
          <w:sz w:val="24"/>
        </w:rPr>
        <w:t>2.D. Заборона торгівлі;</w:t>
      </w:r>
    </w:p>
    <w:p w14:paraId="40F60666" w14:textId="77777777" w:rsidR="00AB6216" w:rsidRPr="00A44921" w:rsidRDefault="00AB6216" w:rsidP="00AB6216">
      <w:pPr>
        <w:spacing w:line="276" w:lineRule="auto"/>
        <w:ind w:left="567" w:right="23"/>
        <w:outlineLvl w:val="1"/>
        <w:rPr>
          <w:bCs/>
          <w:sz w:val="24"/>
        </w:rPr>
      </w:pPr>
      <w:r w:rsidRPr="00A44921">
        <w:rPr>
          <w:bCs/>
          <w:sz w:val="24"/>
        </w:rPr>
        <w:t>2.E. Загрози для китоподібних, спричинені взаємодією з людиною;</w:t>
      </w:r>
    </w:p>
    <w:p w14:paraId="39605218" w14:textId="77777777" w:rsidR="00AB6216" w:rsidRPr="00A44921" w:rsidRDefault="00AB6216" w:rsidP="00AB6216">
      <w:pPr>
        <w:spacing w:line="276" w:lineRule="auto"/>
        <w:ind w:left="567" w:right="23"/>
        <w:outlineLvl w:val="1"/>
        <w:rPr>
          <w:bCs/>
          <w:sz w:val="24"/>
        </w:rPr>
      </w:pPr>
      <w:r w:rsidRPr="00A44921">
        <w:rPr>
          <w:bCs/>
          <w:sz w:val="24"/>
        </w:rPr>
        <w:t>2.F. Дельфінарії та квазі-дельфінарії;</w:t>
      </w:r>
    </w:p>
    <w:p w14:paraId="3F3A30CB" w14:textId="77777777" w:rsidR="00AB6216" w:rsidRDefault="00AB6216" w:rsidP="00AB6216">
      <w:pPr>
        <w:spacing w:line="276" w:lineRule="auto"/>
        <w:ind w:left="567" w:right="23"/>
        <w:outlineLvl w:val="1"/>
        <w:rPr>
          <w:bCs/>
          <w:sz w:val="24"/>
        </w:rPr>
      </w:pPr>
      <w:r w:rsidRPr="00A44921">
        <w:rPr>
          <w:bCs/>
          <w:sz w:val="24"/>
        </w:rPr>
        <w:t>2.G. Реабілітація та реінтродукція після утримання в неволі;</w:t>
      </w:r>
    </w:p>
    <w:p w14:paraId="366EBFED" w14:textId="77777777" w:rsidR="00AB6216" w:rsidRDefault="00AB6216" w:rsidP="00AB6216">
      <w:pPr>
        <w:spacing w:before="480" w:line="276" w:lineRule="auto"/>
        <w:ind w:right="23"/>
        <w:outlineLvl w:val="0"/>
        <w:rPr>
          <w:b/>
          <w:sz w:val="24"/>
        </w:rPr>
      </w:pPr>
      <w:r w:rsidRPr="007B2BFD">
        <w:rPr>
          <w:b/>
          <w:sz w:val="24"/>
          <w:lang w:val="ru-RU"/>
        </w:rPr>
        <w:t xml:space="preserve">3. </w:t>
      </w:r>
      <w:r w:rsidRPr="00D11822">
        <w:rPr>
          <w:b/>
          <w:sz w:val="24"/>
        </w:rPr>
        <w:t>Зобов'язання, що випливають з інших правових інструментів:</w:t>
      </w:r>
    </w:p>
    <w:p w14:paraId="51C5BB51" w14:textId="77777777" w:rsidR="00AB6216" w:rsidRPr="007B2BFD" w:rsidRDefault="00AB6216" w:rsidP="00AB6216">
      <w:pPr>
        <w:spacing w:line="276" w:lineRule="auto"/>
        <w:ind w:left="567" w:right="23"/>
        <w:outlineLvl w:val="1"/>
        <w:rPr>
          <w:bCs/>
          <w:sz w:val="24"/>
        </w:rPr>
      </w:pPr>
      <w:r w:rsidRPr="007B2BFD">
        <w:rPr>
          <w:bCs/>
          <w:sz w:val="24"/>
        </w:rPr>
        <w:t>3.А. Конвенція про збереження мігруючих видів диких тварин;</w:t>
      </w:r>
    </w:p>
    <w:p w14:paraId="29AFF28F" w14:textId="77777777" w:rsidR="00AB6216" w:rsidRPr="007B2BFD" w:rsidRDefault="00AB6216" w:rsidP="00AB6216">
      <w:pPr>
        <w:spacing w:line="276" w:lineRule="auto"/>
        <w:ind w:left="567" w:right="23"/>
        <w:outlineLvl w:val="1"/>
        <w:rPr>
          <w:bCs/>
          <w:sz w:val="24"/>
        </w:rPr>
      </w:pPr>
      <w:r w:rsidRPr="007B2BFD">
        <w:rPr>
          <w:bCs/>
          <w:sz w:val="24"/>
        </w:rPr>
        <w:t>3.B. Конвенція про охорону дикої флори та фауни і природних середовищ існування в Європі;</w:t>
      </w:r>
    </w:p>
    <w:p w14:paraId="5DF93383" w14:textId="77777777" w:rsidR="00AB6216" w:rsidRPr="007B2BFD" w:rsidRDefault="00AB6216" w:rsidP="00AB6216">
      <w:pPr>
        <w:spacing w:line="276" w:lineRule="auto"/>
        <w:ind w:left="567" w:right="23"/>
        <w:outlineLvl w:val="1"/>
        <w:rPr>
          <w:bCs/>
          <w:sz w:val="24"/>
        </w:rPr>
      </w:pPr>
      <w:r w:rsidRPr="007B2BFD">
        <w:rPr>
          <w:bCs/>
          <w:sz w:val="24"/>
        </w:rPr>
        <w:t>3.C. Конвенція про міжнародну торгівлю видами дикої фауни і флори, що перебувають під загрозою зникнення;</w:t>
      </w:r>
    </w:p>
    <w:p w14:paraId="3C3A0115" w14:textId="77777777" w:rsidR="00AB6216" w:rsidRPr="007B2BFD" w:rsidRDefault="00AB6216" w:rsidP="00AB6216">
      <w:pPr>
        <w:spacing w:line="276" w:lineRule="auto"/>
        <w:ind w:left="567" w:right="23"/>
        <w:outlineLvl w:val="1"/>
        <w:rPr>
          <w:bCs/>
          <w:sz w:val="24"/>
        </w:rPr>
      </w:pPr>
      <w:r w:rsidRPr="007B2BFD">
        <w:rPr>
          <w:bCs/>
          <w:sz w:val="24"/>
        </w:rPr>
        <w:t xml:space="preserve">3.D. Протокол щодо особливо охоронюваних територій та біологічного різноманіття в Середземномор'ї; </w:t>
      </w:r>
    </w:p>
    <w:p w14:paraId="184849F7" w14:textId="77777777" w:rsidR="00AB6216" w:rsidRPr="007B2BFD" w:rsidRDefault="00AB6216" w:rsidP="00AB6216">
      <w:pPr>
        <w:spacing w:line="276" w:lineRule="auto"/>
        <w:ind w:left="567" w:right="23"/>
        <w:outlineLvl w:val="1"/>
        <w:rPr>
          <w:bCs/>
          <w:sz w:val="24"/>
        </w:rPr>
      </w:pPr>
      <w:r w:rsidRPr="007B2BFD">
        <w:rPr>
          <w:bCs/>
          <w:sz w:val="24"/>
        </w:rPr>
        <w:t xml:space="preserve">3.E. Протокол про збереження біорізноманіття та ландшафту Чорного моря; </w:t>
      </w:r>
    </w:p>
    <w:p w14:paraId="284A3936" w14:textId="77777777" w:rsidR="00AB6216" w:rsidRPr="007B2BFD" w:rsidRDefault="00AB6216" w:rsidP="00AB6216">
      <w:pPr>
        <w:spacing w:line="276" w:lineRule="auto"/>
        <w:ind w:left="567" w:right="23"/>
        <w:outlineLvl w:val="1"/>
        <w:rPr>
          <w:bCs/>
          <w:sz w:val="24"/>
        </w:rPr>
      </w:pPr>
      <w:r w:rsidRPr="007B2BFD">
        <w:rPr>
          <w:bCs/>
          <w:sz w:val="24"/>
        </w:rPr>
        <w:t xml:space="preserve">3.F. Законодавство Європейського Союзу; </w:t>
      </w:r>
    </w:p>
    <w:p w14:paraId="42819419" w14:textId="77777777" w:rsidR="00AB6216" w:rsidRPr="00D11822" w:rsidRDefault="00AB6216" w:rsidP="00AB6216">
      <w:pPr>
        <w:spacing w:before="480" w:line="276" w:lineRule="auto"/>
        <w:ind w:right="23"/>
        <w:outlineLvl w:val="0"/>
        <w:rPr>
          <w:b/>
          <w:sz w:val="24"/>
        </w:rPr>
      </w:pPr>
      <w:r w:rsidRPr="007B2BFD">
        <w:rPr>
          <w:b/>
          <w:sz w:val="24"/>
          <w:lang w:val="ru-RU"/>
        </w:rPr>
        <w:t xml:space="preserve">4. </w:t>
      </w:r>
      <w:r w:rsidRPr="00D11822">
        <w:rPr>
          <w:b/>
          <w:sz w:val="24"/>
        </w:rPr>
        <w:t xml:space="preserve">Наслідки порушення відповідних міжнародних зобов’язань; </w:t>
      </w:r>
    </w:p>
    <w:p w14:paraId="001B67DD" w14:textId="77777777" w:rsidR="00AB6216" w:rsidRPr="00D11822" w:rsidRDefault="00AB6216" w:rsidP="00AB6216">
      <w:pPr>
        <w:spacing w:before="480" w:line="276" w:lineRule="auto"/>
        <w:ind w:right="23"/>
        <w:outlineLvl w:val="0"/>
        <w:rPr>
          <w:b/>
          <w:sz w:val="24"/>
        </w:rPr>
      </w:pPr>
      <w:r w:rsidRPr="007B2BFD">
        <w:rPr>
          <w:b/>
          <w:sz w:val="24"/>
          <w:lang w:val="ru-RU"/>
        </w:rPr>
        <w:t xml:space="preserve">5. </w:t>
      </w:r>
      <w:r w:rsidRPr="00D11822">
        <w:rPr>
          <w:b/>
          <w:sz w:val="24"/>
        </w:rPr>
        <w:t xml:space="preserve">Висновки. </w:t>
      </w:r>
    </w:p>
    <w:p w14:paraId="366C4887" w14:textId="77777777" w:rsidR="00AB6216" w:rsidRDefault="00AB6216" w:rsidP="00AB6216">
      <w:pPr>
        <w:spacing w:before="480" w:line="276" w:lineRule="auto"/>
        <w:ind w:right="23"/>
        <w:outlineLvl w:val="0"/>
        <w:rPr>
          <w:bCs/>
          <w:sz w:val="24"/>
        </w:rPr>
      </w:pPr>
      <w:r w:rsidRPr="00D11822">
        <w:rPr>
          <w:b/>
          <w:sz w:val="24"/>
        </w:rPr>
        <w:t xml:space="preserve">Додаток: </w:t>
      </w:r>
      <w:r w:rsidRPr="001F125D">
        <w:rPr>
          <w:bCs/>
          <w:sz w:val="24"/>
        </w:rPr>
        <w:t>Таблиця участі Сторін ACCOBAMS в інших відповідних договорах.</w:t>
      </w:r>
    </w:p>
    <w:p w14:paraId="73272235" w14:textId="77777777" w:rsidR="00AB6216" w:rsidRDefault="00AB6216" w:rsidP="00AB6216">
      <w:pPr>
        <w:rPr>
          <w:bCs/>
          <w:sz w:val="24"/>
        </w:rPr>
      </w:pPr>
      <w:r>
        <w:rPr>
          <w:bCs/>
          <w:sz w:val="24"/>
        </w:rPr>
        <w:br w:type="page"/>
      </w:r>
    </w:p>
    <w:p w14:paraId="3F583833" w14:textId="77777777" w:rsidR="00AB6216" w:rsidRPr="00D11822" w:rsidRDefault="00AB6216" w:rsidP="00AB6216">
      <w:pPr>
        <w:spacing w:line="0" w:lineRule="atLeast"/>
        <w:ind w:right="20"/>
        <w:jc w:val="center"/>
        <w:rPr>
          <w:b/>
          <w:sz w:val="24"/>
        </w:rPr>
      </w:pPr>
      <w:r w:rsidRPr="00D11822">
        <w:rPr>
          <w:b/>
          <w:sz w:val="24"/>
        </w:rPr>
        <w:lastRenderedPageBreak/>
        <w:t>1. Сфера повноважень</w:t>
      </w:r>
    </w:p>
    <w:p w14:paraId="3670DA90" w14:textId="3A81CA89" w:rsidR="00AB6216" w:rsidRPr="00AB6216" w:rsidRDefault="00AB6216" w:rsidP="00AB6216">
      <w:pPr>
        <w:spacing w:before="120" w:line="360" w:lineRule="auto"/>
        <w:jc w:val="both"/>
        <w:rPr>
          <w:sz w:val="22"/>
          <w:szCs w:val="22"/>
        </w:rPr>
      </w:pPr>
      <w:r w:rsidRPr="00AB6216">
        <w:rPr>
          <w:sz w:val="22"/>
          <w:szCs w:val="22"/>
        </w:rPr>
        <w:t>Перша версія цього дослідження під назвою «Видобуток китоподібних та дельфінарії: правовий аналіз у рамках ACCOBAMS» була представлена на П’ятому засіданні (2013 р.) Ради Сторін Угоди про збереження китоподібних у Чорному та Середземному морях,</w:t>
      </w:r>
      <w:r w:rsidRPr="00AB6216">
        <w:rPr>
          <w:sz w:val="22"/>
          <w:szCs w:val="22"/>
          <w:lang w:val="ru-RU"/>
        </w:rPr>
        <w:t xml:space="preserve"> </w:t>
      </w:r>
      <w:r w:rsidRPr="00AB6216">
        <w:rPr>
          <w:sz w:val="22"/>
          <w:szCs w:val="22"/>
        </w:rPr>
        <w:t xml:space="preserve">а також суміжному Атлантичному регіоні. Друга версія під назвою «Видобуток китоподібних, дельфінарії та квазі-дельфінарії: правовий аналіз у рамках ACCOBAMS», яка включала вивчення квазі-дельфінаріїв та питань реінтродукції, була підготовлена до Шостого засідання (2016) Ради Сторін </w:t>
      </w:r>
      <w:proofErr w:type="spellStart"/>
      <w:r w:rsidRPr="00AB6216">
        <w:rPr>
          <w:sz w:val="22"/>
          <w:szCs w:val="22"/>
        </w:rPr>
        <w:t>ACCOBAMS.Поточна</w:t>
      </w:r>
      <w:proofErr w:type="spellEnd"/>
      <w:r w:rsidRPr="00AB6216">
        <w:rPr>
          <w:sz w:val="22"/>
          <w:szCs w:val="22"/>
        </w:rPr>
        <w:t xml:space="preserve"> версія дослідження включає деякі доповнення та враховує низку отриманих зауважень.</w:t>
      </w:r>
    </w:p>
    <w:p w14:paraId="227D9E95" w14:textId="2043BE97" w:rsidR="00AB6216" w:rsidRPr="00AB6216" w:rsidRDefault="00AB6216" w:rsidP="00AB6216">
      <w:pPr>
        <w:spacing w:before="120" w:line="360" w:lineRule="auto"/>
        <w:jc w:val="both"/>
        <w:rPr>
          <w:sz w:val="22"/>
          <w:szCs w:val="22"/>
        </w:rPr>
      </w:pPr>
      <w:r w:rsidRPr="00AB6216">
        <w:rPr>
          <w:sz w:val="22"/>
          <w:szCs w:val="22"/>
        </w:rPr>
        <w:t>В якості вступного зауваження можна згадати, що занепокоєння стосовно питання видобутку китоподібних та дельфінаріїв вже було висловлене Науковим комітетом ACCOBAMS, який зазначив «незаконність видобутку живих китоподібних у Чорному морі» та закликав до «інвентаризації та ретельної оцінки індивідуальної ідентичності всіх дельфінів-афалін, що утримуються у неволі, за допомогою генетичних, морфологічних та фото-ідентифікаційних методів», а також до забезпечення «відповідних адміністративних заходів з метою запобігання заміщення дельфінів, які гинуть у неволі, тваринами, видобутими з дикої природи» (Рекомендація 8.2, прийнята в листопаді 2012 року).Виконуючи рекомендації Наукового комітету, у листопаді 2013 року П'яте засідання Ради Сторін ACCOBAMS прийняло Резолюцію 5.14 під назвою «Видобуток живих дельфінів-афалін у Чорному морі» (</w:t>
      </w:r>
      <w:proofErr w:type="spellStart"/>
      <w:r w:rsidRPr="00AB6216">
        <w:rPr>
          <w:sz w:val="22"/>
          <w:szCs w:val="22"/>
        </w:rPr>
        <w:t>Tursiops</w:t>
      </w:r>
      <w:proofErr w:type="spellEnd"/>
      <w:r w:rsidRPr="00AB6216">
        <w:rPr>
          <w:sz w:val="22"/>
          <w:szCs w:val="22"/>
        </w:rPr>
        <w:t xml:space="preserve"> </w:t>
      </w:r>
      <w:proofErr w:type="spellStart"/>
      <w:r w:rsidRPr="00AB6216">
        <w:rPr>
          <w:sz w:val="22"/>
          <w:szCs w:val="22"/>
        </w:rPr>
        <w:t>truncatus</w:t>
      </w:r>
      <w:proofErr w:type="spellEnd"/>
      <w:r w:rsidRPr="00AB6216">
        <w:rPr>
          <w:sz w:val="22"/>
          <w:szCs w:val="22"/>
        </w:rPr>
        <w:t>).</w:t>
      </w:r>
    </w:p>
    <w:p w14:paraId="48396C8E" w14:textId="536997AF" w:rsidR="00AB6216" w:rsidRPr="00AB6216" w:rsidRDefault="00AB6216" w:rsidP="00AB6216">
      <w:pPr>
        <w:spacing w:before="120" w:line="360" w:lineRule="auto"/>
        <w:jc w:val="both"/>
        <w:rPr>
          <w:sz w:val="22"/>
          <w:szCs w:val="22"/>
        </w:rPr>
      </w:pPr>
      <w:r w:rsidRPr="00AB6216">
        <w:rPr>
          <w:sz w:val="22"/>
          <w:szCs w:val="22"/>
        </w:rPr>
        <w:t>Аналіз, розроблений тут, окреслює зобов'язання, що виникають внаслідок ACCOBAMS, і стосуються питань видобутку китоподібних, дельфінаріїв та квазі-дельфінаріїв. Однак дане питання не може розглядатися окремо від зобов’язань, передбачених іншими правовими інструментами, які також є обов'язковими для всіх або для деяких Сторін ACCOBAMS. Приймаючи рішення в рамках засідань ACCOBAMS, Сторони повинні враховувати також зобов'язання, що випливають з інших договорів, що застосовуються до них. Це пояснює, чому цей документ враховує також інші договори, що діють у галузі збереження китоподібних. Оскільки майже половина нинішніх Сторін ACCOBAMS є членами Європейського Союзу, відповідне законодавство цієї організації з регіональної економічної інтеграції також розглядається як важливий елемент чинного правового режиму.</w:t>
      </w:r>
    </w:p>
    <w:p w14:paraId="1307C53C" w14:textId="2C2657B4" w:rsidR="00AB6216" w:rsidRPr="00AB6216" w:rsidRDefault="00AB6216" w:rsidP="00AB6216">
      <w:pPr>
        <w:rPr>
          <w:sz w:val="22"/>
          <w:szCs w:val="22"/>
        </w:rPr>
      </w:pPr>
    </w:p>
    <w:p w14:paraId="55FF6F9D" w14:textId="4369CCB7" w:rsidR="00AB6216" w:rsidRPr="00AB6216" w:rsidRDefault="00AB6216" w:rsidP="00AB6216">
      <w:pPr>
        <w:rPr>
          <w:sz w:val="22"/>
          <w:szCs w:val="22"/>
        </w:rPr>
      </w:pPr>
    </w:p>
    <w:p w14:paraId="4CDF4F36" w14:textId="77777777" w:rsidR="00AB6216" w:rsidRPr="00AB6216" w:rsidRDefault="00AB6216" w:rsidP="00AB6216">
      <w:pPr>
        <w:rPr>
          <w:sz w:val="22"/>
          <w:szCs w:val="22"/>
        </w:rPr>
      </w:pPr>
    </w:p>
    <w:sectPr w:rsidR="00AB6216" w:rsidRPr="00AB62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8354C" w14:textId="77777777" w:rsidR="00AB6216" w:rsidRDefault="00AB6216" w:rsidP="00AB6216">
      <w:r>
        <w:separator/>
      </w:r>
    </w:p>
  </w:endnote>
  <w:endnote w:type="continuationSeparator" w:id="0">
    <w:p w14:paraId="7F772007" w14:textId="77777777" w:rsidR="00AB6216" w:rsidRDefault="00AB6216" w:rsidP="00AB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326D0" w14:textId="77777777" w:rsidR="00AB6216" w:rsidRDefault="00AB6216" w:rsidP="00AB6216">
      <w:r>
        <w:separator/>
      </w:r>
    </w:p>
  </w:footnote>
  <w:footnote w:type="continuationSeparator" w:id="0">
    <w:p w14:paraId="72BEE4E8" w14:textId="77777777" w:rsidR="00AB6216" w:rsidRDefault="00AB6216" w:rsidP="00AB6216">
      <w:r>
        <w:continuationSeparator/>
      </w:r>
    </w:p>
  </w:footnote>
  <w:footnote w:id="1">
    <w:p w14:paraId="5E0666CA" w14:textId="77777777" w:rsidR="00AB6216" w:rsidRPr="001F125D" w:rsidRDefault="00AB6216" w:rsidP="00AB6216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Pr="001F125D">
        <w:t xml:space="preserve">Професор міжнародного права, Міланський університет </w:t>
      </w:r>
      <w:r>
        <w:rPr>
          <w:lang w:val="ru-RU"/>
        </w:rPr>
        <w:t>«</w:t>
      </w:r>
      <w:proofErr w:type="spellStart"/>
      <w:r w:rsidRPr="001F125D">
        <w:t>Бікокка</w:t>
      </w:r>
      <w:proofErr w:type="spellEnd"/>
      <w:r>
        <w:rPr>
          <w:lang w:val="ru-RU"/>
        </w:rPr>
        <w:t>»</w:t>
      </w:r>
      <w:r w:rsidRPr="001F125D">
        <w:t>, Мілан, Італія.</w:t>
      </w:r>
    </w:p>
  </w:footnote>
  <w:footnote w:id="2">
    <w:p w14:paraId="36A2401B" w14:textId="77777777" w:rsidR="00AB6216" w:rsidRDefault="00AB6216" w:rsidP="00AB6216">
      <w:pPr>
        <w:pStyle w:val="FootnoteText"/>
      </w:pPr>
      <w:r>
        <w:rPr>
          <w:rStyle w:val="FootnoteReference"/>
        </w:rPr>
        <w:t>**</w:t>
      </w:r>
      <w:r>
        <w:t xml:space="preserve"> </w:t>
      </w:r>
      <w:r w:rsidRPr="001F125D">
        <w:t xml:space="preserve">Науковий співробітник з міжнародного права, Міланський університет </w:t>
      </w:r>
      <w:r>
        <w:rPr>
          <w:lang w:val="ru-RU"/>
        </w:rPr>
        <w:t>«</w:t>
      </w:r>
      <w:proofErr w:type="spellStart"/>
      <w:r w:rsidRPr="001F125D">
        <w:t>Бікокка</w:t>
      </w:r>
      <w:proofErr w:type="spellEnd"/>
      <w:r>
        <w:rPr>
          <w:lang w:val="ru-RU"/>
        </w:rPr>
        <w:t>»</w:t>
      </w:r>
      <w:r w:rsidRPr="001F125D">
        <w:t>.</w:t>
      </w:r>
    </w:p>
  </w:footnote>
  <w:footnote w:id="3">
    <w:p w14:paraId="098214CB" w14:textId="77777777" w:rsidR="00AB6216" w:rsidRDefault="00AB6216" w:rsidP="00AB6216">
      <w:pPr>
        <w:pStyle w:val="FootnoteText"/>
      </w:pPr>
      <w:r>
        <w:rPr>
          <w:rStyle w:val="FootnoteReference"/>
        </w:rPr>
        <w:t>***</w:t>
      </w:r>
      <w:r>
        <w:t xml:space="preserve"> </w:t>
      </w:r>
      <w:r w:rsidRPr="001F125D">
        <w:t xml:space="preserve">Це дослідження було завершено 6 листопада 2017 року. Вони відображає виключно висновки та особисту думку авторів. Автори хочуть подякувати пані </w:t>
      </w:r>
      <w:proofErr w:type="spellStart"/>
      <w:r w:rsidRPr="001F125D">
        <w:t>Джоан</w:t>
      </w:r>
      <w:proofErr w:type="spellEnd"/>
      <w:r w:rsidRPr="001F125D">
        <w:t xml:space="preserve"> </w:t>
      </w:r>
      <w:proofErr w:type="spellStart"/>
      <w:r w:rsidRPr="001F125D">
        <w:t>Гонсалво</w:t>
      </w:r>
      <w:proofErr w:type="spellEnd"/>
      <w:r w:rsidRPr="001F125D">
        <w:t xml:space="preserve">, панові Джузеппе </w:t>
      </w:r>
      <w:proofErr w:type="spellStart"/>
      <w:r w:rsidRPr="001F125D">
        <w:t>Нотарбартоло</w:t>
      </w:r>
      <w:proofErr w:type="spellEnd"/>
      <w:r w:rsidRPr="001F125D">
        <w:t xml:space="preserve"> ді </w:t>
      </w:r>
      <w:proofErr w:type="spellStart"/>
      <w:r w:rsidRPr="001F125D">
        <w:t>Шиара</w:t>
      </w:r>
      <w:proofErr w:type="spellEnd"/>
      <w:r w:rsidRPr="001F125D">
        <w:t xml:space="preserve"> та панові Патріку Ван </w:t>
      </w:r>
      <w:proofErr w:type="spellStart"/>
      <w:r w:rsidRPr="001F125D">
        <w:t>Клаверену</w:t>
      </w:r>
      <w:proofErr w:type="spellEnd"/>
      <w:r w:rsidRPr="001F125D">
        <w:t xml:space="preserve"> за корисні зауваження.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B68079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E6AFB6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5E45D32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9B500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06054A7"/>
    <w:multiLevelType w:val="hybridMultilevel"/>
    <w:tmpl w:val="0E1E0B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16"/>
    <w:rsid w:val="00AB6216"/>
    <w:rsid w:val="00B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68AC3F"/>
  <w15:chartTrackingRefBased/>
  <w15:docId w15:val="{32C80355-B6DA-472B-853F-06F537AE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216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21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6216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2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2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6791</Words>
  <Characters>3871</Characters>
  <Application>Microsoft Office Word</Application>
  <DocSecurity>0</DocSecurity>
  <Lines>32</Lines>
  <Paragraphs>21</Paragraphs>
  <ScaleCrop>false</ScaleCrop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Бондаренко</dc:creator>
  <cp:keywords/>
  <dc:description/>
  <cp:lastModifiedBy>Ксения Бондаренко</cp:lastModifiedBy>
  <cp:revision>2</cp:revision>
  <dcterms:created xsi:type="dcterms:W3CDTF">2021-02-01T21:52:00Z</dcterms:created>
  <dcterms:modified xsi:type="dcterms:W3CDTF">2021-02-01T21:52:00Z</dcterms:modified>
</cp:coreProperties>
</file>