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7F" w:rsidRPr="009071D6" w:rsidRDefault="00BC637F" w:rsidP="009C6963">
      <w:pPr>
        <w:pStyle w:val="Pa9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9071D6">
        <w:rPr>
          <w:rFonts w:ascii="Times New Roman" w:hAnsi="Times New Roman" w:cs="Times New Roman"/>
          <w:b/>
          <w:bCs/>
          <w:sz w:val="28"/>
          <w:szCs w:val="28"/>
        </w:rPr>
        <w:t>Производство молочного шоколада без сахарозы с использованием наполнителе</w:t>
      </w:r>
      <w:r w:rsidR="006E5DA2" w:rsidRPr="009071D6">
        <w:rPr>
          <w:rFonts w:ascii="Times New Roman" w:hAnsi="Times New Roman" w:cs="Times New Roman"/>
          <w:b/>
          <w:bCs/>
          <w:sz w:val="28"/>
          <w:szCs w:val="28"/>
        </w:rPr>
        <w:t>й и некалорийных подсластителей</w:t>
      </w:r>
    </w:p>
    <w:p w:rsidR="00BC637F" w:rsidRPr="009071D6" w:rsidRDefault="00BC637F" w:rsidP="009C6963">
      <w:pPr>
        <w:pStyle w:val="Default"/>
        <w:spacing w:before="240" w:after="340" w:line="221" w:lineRule="atLeast"/>
        <w:ind w:left="284" w:right="283"/>
        <w:jc w:val="center"/>
        <w:rPr>
          <w:rFonts w:ascii="Times New Roman" w:eastAsia="academicons" w:hAnsi="Times New Roman" w:cs="Times New Roman"/>
        </w:rPr>
      </w:pPr>
      <w:r w:rsidRPr="009071D6">
        <w:rPr>
          <w:rFonts w:ascii="Times New Roman" w:hAnsi="Times New Roman" w:cs="Times New Roman"/>
        </w:rPr>
        <w:t xml:space="preserve">Каролина </w:t>
      </w:r>
      <w:proofErr w:type="spellStart"/>
      <w:r w:rsidRPr="009071D6">
        <w:rPr>
          <w:rFonts w:ascii="Times New Roman" w:hAnsi="Times New Roman" w:cs="Times New Roman"/>
        </w:rPr>
        <w:t>Агилар</w:t>
      </w:r>
      <w:proofErr w:type="spellEnd"/>
      <w:r w:rsidRPr="009071D6">
        <w:rPr>
          <w:rFonts w:ascii="Times New Roman" w:hAnsi="Times New Roman" w:cs="Times New Roman"/>
        </w:rPr>
        <w:t>-Вилла (</w:t>
      </w:r>
      <w:r w:rsidRPr="009071D6">
        <w:rPr>
          <w:rFonts w:ascii="Times New Roman" w:hAnsi="Times New Roman" w:cs="Times New Roman"/>
          <w:lang w:val="en-US"/>
        </w:rPr>
        <w:t>Carolina</w:t>
      </w:r>
      <w:r w:rsidRPr="009071D6">
        <w:rPr>
          <w:rFonts w:ascii="Times New Roman" w:hAnsi="Times New Roman" w:cs="Times New Roman"/>
        </w:rPr>
        <w:t xml:space="preserve"> </w:t>
      </w:r>
      <w:proofErr w:type="spellStart"/>
      <w:r w:rsidRPr="009071D6">
        <w:rPr>
          <w:rFonts w:ascii="Times New Roman" w:hAnsi="Times New Roman" w:cs="Times New Roman"/>
          <w:lang w:val="en-US"/>
        </w:rPr>
        <w:t>Aguillar</w:t>
      </w:r>
      <w:proofErr w:type="spellEnd"/>
      <w:r w:rsidRPr="009071D6">
        <w:rPr>
          <w:rFonts w:ascii="Times New Roman" w:hAnsi="Times New Roman" w:cs="Times New Roman"/>
        </w:rPr>
        <w:t>-</w:t>
      </w:r>
      <w:r w:rsidRPr="009071D6">
        <w:rPr>
          <w:rFonts w:ascii="Times New Roman" w:hAnsi="Times New Roman" w:cs="Times New Roman"/>
          <w:lang w:val="en-US"/>
        </w:rPr>
        <w:t>Villa</w:t>
      </w:r>
      <w:r w:rsidRPr="009071D6">
        <w:rPr>
          <w:rFonts w:ascii="Times New Roman" w:hAnsi="Times New Roman" w:cs="Times New Roman"/>
        </w:rPr>
        <w:t>)</w:t>
      </w:r>
      <w:r w:rsidRPr="009071D6">
        <w:rPr>
          <w:rFonts w:ascii="Times New Roman" w:hAnsi="Times New Roman" w:cs="Times New Roman"/>
          <w:position w:val="2"/>
          <w:sz w:val="20"/>
          <w:szCs w:val="20"/>
          <w:vertAlign w:val="superscript"/>
        </w:rPr>
        <w:t>1</w:t>
      </w:r>
      <w:r w:rsidRPr="009071D6">
        <w:rPr>
          <w:rFonts w:ascii="Times New Roman" w:hAnsi="Times New Roman" w:cs="Times New Roman"/>
        </w:rPr>
        <w:t xml:space="preserve">, Элли </w:t>
      </w:r>
      <w:proofErr w:type="spellStart"/>
      <w:r w:rsidRPr="009071D6">
        <w:rPr>
          <w:rFonts w:ascii="Times New Roman" w:hAnsi="Times New Roman" w:cs="Times New Roman"/>
        </w:rPr>
        <w:t>Ваннеса</w:t>
      </w:r>
      <w:proofErr w:type="spellEnd"/>
      <w:r w:rsidRPr="009071D6">
        <w:rPr>
          <w:rFonts w:ascii="Times New Roman" w:hAnsi="Times New Roman" w:cs="Times New Roman"/>
        </w:rPr>
        <w:t xml:space="preserve"> </w:t>
      </w:r>
      <w:proofErr w:type="spellStart"/>
      <w:r w:rsidRPr="009071D6">
        <w:rPr>
          <w:rFonts w:ascii="Times New Roman" w:hAnsi="Times New Roman" w:cs="Times New Roman"/>
        </w:rPr>
        <w:t>Акоста-Оталваро</w:t>
      </w:r>
      <w:proofErr w:type="spellEnd"/>
      <w:r w:rsidRPr="009071D6">
        <w:rPr>
          <w:rFonts w:ascii="Times New Roman" w:hAnsi="Times New Roman" w:cs="Times New Roman"/>
        </w:rPr>
        <w:t xml:space="preserve"> (</w:t>
      </w:r>
      <w:proofErr w:type="spellStart"/>
      <w:r w:rsidRPr="009071D6">
        <w:rPr>
          <w:rFonts w:ascii="Times New Roman" w:hAnsi="Times New Roman" w:cs="Times New Roman"/>
          <w:lang w:val="en-US"/>
        </w:rPr>
        <w:t>Elly</w:t>
      </w:r>
      <w:proofErr w:type="spellEnd"/>
      <w:r w:rsidRPr="009071D6">
        <w:rPr>
          <w:rFonts w:ascii="Times New Roman" w:hAnsi="Times New Roman" w:cs="Times New Roman"/>
        </w:rPr>
        <w:t xml:space="preserve"> </w:t>
      </w:r>
      <w:proofErr w:type="spellStart"/>
      <w:r w:rsidRPr="009071D6">
        <w:rPr>
          <w:rFonts w:ascii="Times New Roman" w:hAnsi="Times New Roman" w:cs="Times New Roman"/>
          <w:lang w:val="en-US"/>
        </w:rPr>
        <w:t>Vannesa</w:t>
      </w:r>
      <w:proofErr w:type="spellEnd"/>
      <w:r w:rsidRPr="009071D6">
        <w:rPr>
          <w:rFonts w:ascii="Times New Roman" w:hAnsi="Times New Roman" w:cs="Times New Roman"/>
        </w:rPr>
        <w:t xml:space="preserve"> </w:t>
      </w:r>
      <w:r w:rsidRPr="009071D6">
        <w:rPr>
          <w:rFonts w:ascii="Times New Roman" w:hAnsi="Times New Roman" w:cs="Times New Roman"/>
          <w:lang w:val="en-US"/>
        </w:rPr>
        <w:t>Acosta</w:t>
      </w:r>
      <w:r w:rsidRPr="009071D6">
        <w:rPr>
          <w:rFonts w:ascii="Times New Roman" w:hAnsi="Times New Roman" w:cs="Times New Roman"/>
        </w:rPr>
        <w:t>-</w:t>
      </w:r>
      <w:proofErr w:type="spellStart"/>
      <w:r w:rsidRPr="009071D6">
        <w:rPr>
          <w:rFonts w:ascii="Times New Roman" w:hAnsi="Times New Roman" w:cs="Times New Roman"/>
          <w:lang w:val="en-US"/>
        </w:rPr>
        <w:t>Ot</w:t>
      </w:r>
      <w:proofErr w:type="spellEnd"/>
      <w:r w:rsidRPr="009071D6">
        <w:rPr>
          <w:rFonts w:ascii="Times New Roman" w:hAnsi="Times New Roman" w:cs="Times New Roman"/>
        </w:rPr>
        <w:t>á</w:t>
      </w:r>
      <w:proofErr w:type="spellStart"/>
      <w:r w:rsidRPr="009071D6">
        <w:rPr>
          <w:rFonts w:ascii="Times New Roman" w:hAnsi="Times New Roman" w:cs="Times New Roman"/>
          <w:lang w:val="en-US"/>
        </w:rPr>
        <w:t>lvaro</w:t>
      </w:r>
      <w:proofErr w:type="spellEnd"/>
      <w:r w:rsidRPr="009071D6">
        <w:rPr>
          <w:rFonts w:ascii="Times New Roman" w:hAnsi="Times New Roman" w:cs="Times New Roman"/>
        </w:rPr>
        <w:t>)</w:t>
      </w:r>
      <w:r w:rsidRPr="009071D6">
        <w:rPr>
          <w:rFonts w:ascii="Times New Roman" w:hAnsi="Times New Roman" w:cs="Times New Roman"/>
          <w:position w:val="2"/>
          <w:sz w:val="20"/>
          <w:szCs w:val="20"/>
          <w:vertAlign w:val="superscript"/>
        </w:rPr>
        <w:t>1</w:t>
      </w:r>
      <w:r w:rsidRPr="009071D6">
        <w:rPr>
          <w:rFonts w:ascii="Times New Roman" w:hAnsi="Times New Roman" w:cs="Times New Roman"/>
        </w:rPr>
        <w:t xml:space="preserve">, </w:t>
      </w:r>
      <w:proofErr w:type="spellStart"/>
      <w:r w:rsidRPr="009071D6">
        <w:rPr>
          <w:rFonts w:ascii="Times New Roman" w:hAnsi="Times New Roman" w:cs="Times New Roman"/>
        </w:rPr>
        <w:t>Эдуардо</w:t>
      </w:r>
      <w:proofErr w:type="spellEnd"/>
      <w:r w:rsidRPr="009071D6">
        <w:rPr>
          <w:rFonts w:ascii="Times New Roman" w:hAnsi="Times New Roman" w:cs="Times New Roman"/>
        </w:rPr>
        <w:t xml:space="preserve"> Родригес-</w:t>
      </w:r>
      <w:proofErr w:type="spellStart"/>
      <w:r w:rsidRPr="009071D6">
        <w:rPr>
          <w:rFonts w:ascii="Times New Roman" w:hAnsi="Times New Roman" w:cs="Times New Roman"/>
        </w:rPr>
        <w:t>Сандовал</w:t>
      </w:r>
      <w:proofErr w:type="spellEnd"/>
      <w:r w:rsidRPr="009071D6">
        <w:rPr>
          <w:rFonts w:ascii="Times New Roman" w:hAnsi="Times New Roman" w:cs="Times New Roman"/>
        </w:rPr>
        <w:t xml:space="preserve"> (</w:t>
      </w:r>
      <w:r w:rsidRPr="009071D6">
        <w:rPr>
          <w:rFonts w:ascii="Times New Roman" w:hAnsi="Times New Roman" w:cs="Times New Roman"/>
          <w:lang w:val="en-US"/>
        </w:rPr>
        <w:t>Eduardo</w:t>
      </w:r>
      <w:r w:rsidRPr="009071D6">
        <w:rPr>
          <w:rFonts w:ascii="Times New Roman" w:hAnsi="Times New Roman" w:cs="Times New Roman"/>
        </w:rPr>
        <w:t xml:space="preserve"> </w:t>
      </w:r>
      <w:proofErr w:type="spellStart"/>
      <w:r w:rsidRPr="009071D6">
        <w:rPr>
          <w:rFonts w:ascii="Times New Roman" w:hAnsi="Times New Roman" w:cs="Times New Roman"/>
          <w:lang w:val="en-US"/>
        </w:rPr>
        <w:t>Rodr</w:t>
      </w:r>
      <w:proofErr w:type="spellEnd"/>
      <w:r w:rsidRPr="009071D6">
        <w:rPr>
          <w:rFonts w:ascii="Times New Roman" w:hAnsi="Times New Roman" w:cs="Times New Roman"/>
        </w:rPr>
        <w:t>í</w:t>
      </w:r>
      <w:proofErr w:type="spellStart"/>
      <w:r w:rsidRPr="009071D6">
        <w:rPr>
          <w:rFonts w:ascii="Times New Roman" w:hAnsi="Times New Roman" w:cs="Times New Roman"/>
          <w:lang w:val="en-US"/>
        </w:rPr>
        <w:t>guez</w:t>
      </w:r>
      <w:proofErr w:type="spellEnd"/>
      <w:r w:rsidRPr="009071D6">
        <w:rPr>
          <w:rFonts w:ascii="Times New Roman" w:hAnsi="Times New Roman" w:cs="Times New Roman"/>
        </w:rPr>
        <w:t>-</w:t>
      </w:r>
      <w:r w:rsidRPr="009071D6">
        <w:rPr>
          <w:rFonts w:ascii="Times New Roman" w:hAnsi="Times New Roman" w:cs="Times New Roman"/>
          <w:lang w:val="en-US"/>
        </w:rPr>
        <w:t>Sandoval</w:t>
      </w:r>
      <w:r w:rsidRPr="009071D6">
        <w:rPr>
          <w:rFonts w:ascii="Times New Roman" w:hAnsi="Times New Roman" w:cs="Times New Roman"/>
        </w:rPr>
        <w:t>)</w:t>
      </w:r>
      <w:r w:rsidRPr="009071D6">
        <w:rPr>
          <w:rFonts w:ascii="Times New Roman" w:hAnsi="Times New Roman" w:cs="Times New Roman"/>
          <w:position w:val="2"/>
          <w:sz w:val="20"/>
          <w:szCs w:val="20"/>
          <w:vertAlign w:val="superscript"/>
        </w:rPr>
        <w:t>2</w:t>
      </w:r>
      <w:r w:rsidRPr="009071D6">
        <w:rPr>
          <w:rFonts w:ascii="Times New Roman" w:hAnsi="Times New Roman" w:cs="Times New Roman"/>
          <w:position w:val="4"/>
          <w:sz w:val="20"/>
          <w:szCs w:val="20"/>
        </w:rPr>
        <w:t>*</w:t>
      </w:r>
      <w:r w:rsidRPr="009071D6">
        <w:rPr>
          <w:rFonts w:ascii="Times New Roman" w:hAnsi="Times New Roman" w:cs="Times New Roman"/>
        </w:rPr>
        <w:t xml:space="preserve">, Хуан </w:t>
      </w:r>
      <w:proofErr w:type="spellStart"/>
      <w:r w:rsidRPr="009071D6">
        <w:rPr>
          <w:rFonts w:ascii="Times New Roman" w:hAnsi="Times New Roman" w:cs="Times New Roman"/>
        </w:rPr>
        <w:t>Камильо</w:t>
      </w:r>
      <w:proofErr w:type="spellEnd"/>
      <w:r w:rsidRPr="009071D6">
        <w:rPr>
          <w:rFonts w:ascii="Times New Roman" w:hAnsi="Times New Roman" w:cs="Times New Roman"/>
        </w:rPr>
        <w:t xml:space="preserve"> Мазо-</w:t>
      </w:r>
      <w:proofErr w:type="spellStart"/>
      <w:r w:rsidRPr="009071D6">
        <w:rPr>
          <w:rFonts w:ascii="Times New Roman" w:hAnsi="Times New Roman" w:cs="Times New Roman"/>
        </w:rPr>
        <w:t>Ривас</w:t>
      </w:r>
      <w:proofErr w:type="spellEnd"/>
      <w:r w:rsidRPr="009071D6">
        <w:rPr>
          <w:rFonts w:ascii="Times New Roman" w:hAnsi="Times New Roman" w:cs="Times New Roman"/>
        </w:rPr>
        <w:t xml:space="preserve"> (</w:t>
      </w:r>
      <w:r w:rsidRPr="009071D6">
        <w:rPr>
          <w:rFonts w:ascii="Times New Roman" w:hAnsi="Times New Roman" w:cs="Times New Roman"/>
          <w:lang w:val="en-US"/>
        </w:rPr>
        <w:t>Juan</w:t>
      </w:r>
      <w:r w:rsidRPr="009071D6">
        <w:rPr>
          <w:rFonts w:ascii="Times New Roman" w:hAnsi="Times New Roman" w:cs="Times New Roman"/>
        </w:rPr>
        <w:t xml:space="preserve"> </w:t>
      </w:r>
      <w:r w:rsidRPr="009071D6">
        <w:rPr>
          <w:rFonts w:ascii="Times New Roman" w:hAnsi="Times New Roman" w:cs="Times New Roman"/>
          <w:lang w:val="en-US"/>
        </w:rPr>
        <w:t>Camilo</w:t>
      </w:r>
      <w:r w:rsidRPr="009071D6">
        <w:rPr>
          <w:rFonts w:ascii="Times New Roman" w:hAnsi="Times New Roman" w:cs="Times New Roman"/>
        </w:rPr>
        <w:t xml:space="preserve"> </w:t>
      </w:r>
      <w:proofErr w:type="spellStart"/>
      <w:r w:rsidRPr="009071D6">
        <w:rPr>
          <w:rFonts w:ascii="Times New Roman" w:hAnsi="Times New Roman" w:cs="Times New Roman"/>
          <w:lang w:val="en-US"/>
        </w:rPr>
        <w:t>Mazo</w:t>
      </w:r>
      <w:proofErr w:type="spellEnd"/>
      <w:r w:rsidRPr="009071D6">
        <w:rPr>
          <w:rFonts w:ascii="Times New Roman" w:hAnsi="Times New Roman" w:cs="Times New Roman"/>
        </w:rPr>
        <w:t>-</w:t>
      </w:r>
      <w:r w:rsidRPr="009071D6">
        <w:rPr>
          <w:rFonts w:ascii="Times New Roman" w:hAnsi="Times New Roman" w:cs="Times New Roman"/>
          <w:lang w:val="en-US"/>
        </w:rPr>
        <w:t>Rivas</w:t>
      </w:r>
      <w:r w:rsidRPr="009071D6">
        <w:rPr>
          <w:rFonts w:ascii="Times New Roman" w:hAnsi="Times New Roman" w:cs="Times New Roman"/>
        </w:rPr>
        <w:t>)</w:t>
      </w:r>
      <w:r w:rsidRPr="009071D6">
        <w:rPr>
          <w:rFonts w:ascii="Times New Roman" w:hAnsi="Times New Roman" w:cs="Times New Roman"/>
          <w:position w:val="2"/>
          <w:sz w:val="20"/>
          <w:szCs w:val="20"/>
          <w:vertAlign w:val="superscript"/>
        </w:rPr>
        <w:t>1</w:t>
      </w:r>
    </w:p>
    <w:p w:rsidR="00BC637F" w:rsidRPr="009071D6" w:rsidRDefault="00BC637F" w:rsidP="00052AE2">
      <w:pPr>
        <w:pStyle w:val="Default"/>
        <w:spacing w:before="140" w:after="40" w:line="201" w:lineRule="atLeast"/>
        <w:ind w:left="142" w:right="142"/>
        <w:rPr>
          <w:rFonts w:ascii="Times New Roman" w:eastAsia="academicons" w:hAnsi="Times New Roman" w:cs="Times New Roman"/>
          <w:sz w:val="20"/>
          <w:szCs w:val="20"/>
        </w:rPr>
      </w:pPr>
      <w:r w:rsidRPr="009071D6">
        <w:rPr>
          <w:rFonts w:ascii="Times New Roman" w:eastAsia="academicons" w:hAnsi="Times New Roman" w:cs="Times New Roman"/>
          <w:b/>
          <w:bCs/>
          <w:sz w:val="20"/>
          <w:szCs w:val="20"/>
        </w:rPr>
        <w:t xml:space="preserve">Резюме </w:t>
      </w:r>
    </w:p>
    <w:p w:rsidR="00BC637F" w:rsidRPr="009071D6" w:rsidRDefault="00BC637F" w:rsidP="00052AE2">
      <w:pPr>
        <w:pStyle w:val="Pa14"/>
        <w:spacing w:after="100"/>
        <w:ind w:left="142" w:right="142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>Сахароза играет важную роль в производстве шоколада, определяя его текстуру и сенсорное восприятие. Цель исследования заключалась в том, чтобы изучить эффект добавления наполнителей и некалорийного подсластителя при приготовлении молочного шоколада без сахарозы. Был отобран один контрольный образец с сахарозой и 11 образцов, в которых варьировалось соотношение между наполнителями (мальтитол, полидекстроза, инулин) и некалорийным подсластителем (стевия), сохраняя сладость контрольного образца. Сенсорное восприятие каждого образца оценивалось с помощью тестов на предпочтение и по вкусовому профилю. Анализ главных компонент (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PCA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>) показал, что составы с мальтитолом и стевией (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>7) и мальтитолом, полидекстрозой, инулином и стевией (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10) наиболее схожи с контрольным образцом по своим вкусовым и качественным характеристикам. Концентрация полидекстрозы более 25% отрицательно повлияла на текстуру продукта. Состав 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10 показал более высокое содержание пищевых волокон за счёт включения инулина. </w:t>
      </w:r>
    </w:p>
    <w:p w:rsidR="00BC637F" w:rsidRPr="009071D6" w:rsidRDefault="00BC637F" w:rsidP="00052AE2">
      <w:pPr>
        <w:pStyle w:val="Pa14"/>
        <w:spacing w:after="100"/>
        <w:ind w:left="142" w:right="142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9071D6">
        <w:rPr>
          <w:rFonts w:ascii="Times New Roman" w:eastAsia="academicons" w:hAnsi="Times New Roman" w:cs="Times New Roman"/>
          <w:b/>
          <w:bCs/>
          <w:color w:val="000000"/>
          <w:sz w:val="20"/>
          <w:szCs w:val="20"/>
        </w:rPr>
        <w:t xml:space="preserve">Ключевые слова: </w:t>
      </w:r>
      <w:r w:rsidRPr="009071D6">
        <w:rPr>
          <w:rFonts w:ascii="Times New Roman" w:eastAsia="academicons" w:hAnsi="Times New Roman" w:cs="Times New Roman"/>
          <w:bCs/>
          <w:color w:val="000000"/>
          <w:sz w:val="20"/>
          <w:szCs w:val="20"/>
        </w:rPr>
        <w:t>шоколад, замена сахарозы, инулин, полидекстроза, мальтитол, стевия.</w:t>
      </w:r>
      <w:r w:rsidRPr="009071D6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</w:p>
    <w:p w:rsidR="00BC637F" w:rsidRPr="009071D6" w:rsidRDefault="00BC637F" w:rsidP="00052AE2">
      <w:pPr>
        <w:pStyle w:val="Pa14"/>
        <w:spacing w:after="100"/>
        <w:ind w:left="142" w:right="142"/>
        <w:jc w:val="both"/>
        <w:rPr>
          <w:rFonts w:ascii="Times New Roman" w:eastAsia="academicons" w:hAnsi="Times New Roman" w:cs="Times New Roman"/>
          <w:bCs/>
          <w:color w:val="000000"/>
          <w:sz w:val="20"/>
          <w:szCs w:val="20"/>
        </w:rPr>
      </w:pPr>
      <w:r w:rsidRPr="009071D6">
        <w:rPr>
          <w:rFonts w:ascii="Times New Roman" w:eastAsia="academicons" w:hAnsi="Times New Roman" w:cs="Times New Roman"/>
          <w:b/>
          <w:bCs/>
          <w:color w:val="000000"/>
          <w:sz w:val="20"/>
          <w:szCs w:val="20"/>
        </w:rPr>
        <w:t>Практическое применение:</w:t>
      </w:r>
      <w:r w:rsidRPr="009071D6">
        <w:rPr>
          <w:rFonts w:ascii="Times New Roman" w:eastAsia="academicons" w:hAnsi="Times New Roman" w:cs="Times New Roman"/>
          <w:bCs/>
          <w:color w:val="000000"/>
          <w:sz w:val="20"/>
          <w:szCs w:val="20"/>
        </w:rPr>
        <w:t xml:space="preserve"> использование наполнителей и некалорийных подсластителей для замены сахарозы в молочном шоколаде.</w:t>
      </w:r>
    </w:p>
    <w:p w:rsidR="00052AE2" w:rsidRDefault="00052AE2" w:rsidP="00052AE2">
      <w:pPr>
        <w:pStyle w:val="Default"/>
        <w:rPr>
          <w:rFonts w:asciiTheme="minorHAnsi" w:hAnsiTheme="minorHAnsi"/>
        </w:rPr>
      </w:pPr>
    </w:p>
    <w:p w:rsidR="00754C38" w:rsidRDefault="00754C38" w:rsidP="00754C38">
      <w:pPr>
        <w:pStyle w:val="Pa0"/>
        <w:spacing w:before="140" w:after="80"/>
        <w:rPr>
          <w:rFonts w:ascii="Times New Roman" w:eastAsia="academicons" w:hAnsi="Times New Roman" w:cs="Times New Roman"/>
          <w:b/>
          <w:bCs/>
          <w:color w:val="000000"/>
        </w:rPr>
        <w:sectPr w:rsidR="00754C38" w:rsidSect="006E5DA2">
          <w:footerReference w:type="even" r:id="rId8"/>
          <w:footerReference w:type="first" r:id="rId9"/>
          <w:pgSz w:w="11906" w:h="16838"/>
          <w:pgMar w:top="1701" w:right="991" w:bottom="1418" w:left="1134" w:header="708" w:footer="708" w:gutter="0"/>
          <w:cols w:space="708"/>
          <w:titlePg/>
          <w:docGrid w:linePitch="360"/>
        </w:sectPr>
      </w:pPr>
    </w:p>
    <w:p w:rsidR="00754C38" w:rsidRPr="002109F4" w:rsidRDefault="00754C38" w:rsidP="002109F4">
      <w:pPr>
        <w:pStyle w:val="Pa0"/>
        <w:spacing w:after="80"/>
        <w:jc w:val="both"/>
        <w:rPr>
          <w:rFonts w:ascii="Times New Roman" w:eastAsia="academicons" w:hAnsi="Times New Roman" w:cs="Times New Roman"/>
          <w:color w:val="000000"/>
        </w:rPr>
      </w:pPr>
      <w:r w:rsidRPr="002109F4">
        <w:rPr>
          <w:rFonts w:ascii="Times New Roman" w:eastAsia="academicons" w:hAnsi="Times New Roman" w:cs="Times New Roman"/>
          <w:b/>
          <w:bCs/>
          <w:color w:val="000000"/>
        </w:rPr>
        <w:t xml:space="preserve">1 Введение </w:t>
      </w:r>
    </w:p>
    <w:p w:rsidR="002109F4" w:rsidRDefault="002109F4" w:rsidP="002109F4">
      <w:pPr>
        <w:pStyle w:val="Default"/>
        <w:spacing w:line="151" w:lineRule="atLeast"/>
        <w:ind w:firstLine="426"/>
        <w:jc w:val="both"/>
        <w:rPr>
          <w:rFonts w:ascii="Times New Roman" w:eastAsia="academicons" w:hAnsi="Times New Roman" w:cs="Times New Roman"/>
          <w:sz w:val="20"/>
          <w:szCs w:val="20"/>
        </w:rPr>
        <w:sectPr w:rsidR="002109F4" w:rsidSect="002109F4">
          <w:type w:val="continuous"/>
          <w:pgSz w:w="11906" w:h="16838"/>
          <w:pgMar w:top="1701" w:right="991" w:bottom="1418" w:left="1134" w:header="708" w:footer="708" w:gutter="0"/>
          <w:cols w:space="425"/>
          <w:titlePg/>
          <w:docGrid w:linePitch="360"/>
        </w:sectPr>
      </w:pPr>
    </w:p>
    <w:p w:rsidR="002109F4" w:rsidRDefault="00754C38" w:rsidP="00AD393D">
      <w:pPr>
        <w:pStyle w:val="Default"/>
        <w:spacing w:after="240" w:line="151" w:lineRule="atLeast"/>
        <w:ind w:firstLine="426"/>
        <w:jc w:val="both"/>
        <w:rPr>
          <w:rFonts w:ascii="Times New Roman" w:eastAsia="academicons" w:hAnsi="Times New Roman" w:cs="Times New Roman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sz w:val="20"/>
          <w:szCs w:val="20"/>
        </w:rPr>
        <w:t>В шоколаде сахара выполняют важные функции, не ограничивающиеся лишь подслащиванием. Они используются как наполнители, модификаторы текстуры, усилители вкуса и консерванты. Применение сахара во многих продуктах питания обусловлено его чистым сладким вкусом с быстрым проявлением и минимальной стойкостью, в отличие от других подсластителей [</w:t>
      </w:r>
      <w:proofErr w:type="spellStart"/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Aidoo</w:t>
      </w:r>
      <w:proofErr w:type="spellEnd"/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., 2013;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Tavares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., 2014]. При замене сахарозы в шоколаде использовались полидекстроза, инулин и мальтодекстрин в качестве наполнителей, демонстрируя удовлетворительные результаты вкусовых качеств в составах с соотношением инулина и полидекстрозы 75:25 и 50:50, соответственно [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Gomes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., 2007]. Образцы с мальтодекстрином не демонстрировали хорошей приемлемости продукта по сравнению с контрольным составом [</w:t>
      </w:r>
      <w:proofErr w:type="spellStart"/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Farzanmehr</w:t>
      </w:r>
      <w:proofErr w:type="spellEnd"/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&amp; </w:t>
      </w:r>
      <w:proofErr w:type="spellStart"/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Abbasi</w:t>
      </w:r>
      <w:proofErr w:type="spellEnd"/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, 2009]. </w:t>
      </w:r>
      <w:proofErr w:type="spellStart"/>
      <w:r w:rsidRPr="00754C38">
        <w:rPr>
          <w:rFonts w:ascii="Times New Roman" w:eastAsia="academicons" w:hAnsi="Times New Roman" w:cs="Times New Roman"/>
          <w:sz w:val="20"/>
          <w:szCs w:val="20"/>
        </w:rPr>
        <w:t>Айду</w:t>
      </w:r>
      <w:proofErr w:type="spellEnd"/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и др. [</w:t>
      </w:r>
      <w:proofErr w:type="spellStart"/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Aidoo</w:t>
      </w:r>
      <w:proofErr w:type="spellEnd"/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., 2014] отмечают,</w:t>
      </w:r>
      <w:r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что инулин необходимо комбинировать с другими</w:t>
      </w:r>
      <w:r w:rsidR="00D00C2F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наполнителями, поскольку сам по себе инулин повышает вязкость шоколада, что может препятствовать полноценной обработке в процессе производства. Шах и др. [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Shah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., 2010] обнаружили, что рецептуры шоколада с инулином высокой степени полимеризации, стевией и полидекстрозой дают продукты </w:t>
      </w:r>
      <w:r w:rsidR="00820778">
        <w:rPr>
          <w:rFonts w:ascii="Times New Roman" w:eastAsia="academicons" w:hAnsi="Times New Roman" w:cs="Times New Roman"/>
          <w:sz w:val="20"/>
          <w:szCs w:val="20"/>
        </w:rPr>
        <w:t>п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о вкусовым и физико-химическим характеристикам очень похожи</w:t>
      </w:r>
      <w:r w:rsidR="00820778">
        <w:rPr>
          <w:rFonts w:ascii="Times New Roman" w:eastAsia="academicons" w:hAnsi="Times New Roman" w:cs="Times New Roman"/>
          <w:sz w:val="20"/>
          <w:szCs w:val="20"/>
        </w:rPr>
        <w:t>е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на молочный шоколад, подслащенный сахарозой. Наряду с ними, 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Сон и др. [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Son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., 2018] заявили, что мальтитол является отличной альтернативой, поскольку он не канцерогенен и имеет относительную сладость, очень близкую к сахарозе. Мальтитол также придаёт свойства устойчивости цвету конечного продукта, который может иметь более высокую стабильность при хранении по сравнению с шоколадом, содержащим сахарозу. Тем не менее, важно учитывать сложность достижения оптимальной синергии между вышеупомянутыми </w:t>
      </w:r>
      <w:r w:rsidR="00BC637F" w:rsidRPr="00754C38">
        <w:rPr>
          <w:rFonts w:ascii="Times New Roman" w:eastAsia="academicons" w:hAnsi="Times New Roman" w:cs="Times New Roman"/>
          <w:sz w:val="20"/>
          <w:szCs w:val="20"/>
        </w:rPr>
        <w:t>ингредиентами, чтобы гарантировать необходимые сенсорные, текстурные и</w:t>
      </w:r>
      <w:r w:rsidR="00D00C2F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="00BC637F" w:rsidRPr="00754C38">
        <w:rPr>
          <w:rFonts w:ascii="Times New Roman" w:eastAsia="academicons" w:hAnsi="Times New Roman" w:cs="Times New Roman"/>
          <w:sz w:val="20"/>
          <w:szCs w:val="20"/>
        </w:rPr>
        <w:t>функциональные свойства, или свойства, аналогичные</w:t>
      </w:r>
      <w:r w:rsidR="0045314A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="00BC637F" w:rsidRPr="00754C38">
        <w:rPr>
          <w:rFonts w:ascii="Times New Roman" w:eastAsia="academicons" w:hAnsi="Times New Roman" w:cs="Times New Roman"/>
          <w:sz w:val="20"/>
          <w:szCs w:val="20"/>
        </w:rPr>
        <w:t>образцу, под</w:t>
      </w:r>
      <w:r w:rsidR="002109F4">
        <w:rPr>
          <w:rFonts w:ascii="Times New Roman" w:eastAsia="academicons" w:hAnsi="Times New Roman" w:cs="Times New Roman"/>
          <w:sz w:val="20"/>
          <w:szCs w:val="20"/>
        </w:rPr>
        <w:t>слащенному сахарозой.</w:t>
      </w:r>
    </w:p>
    <w:p w:rsidR="0097606D" w:rsidRDefault="00BC637F" w:rsidP="00AD393D">
      <w:pPr>
        <w:pStyle w:val="Default"/>
        <w:spacing w:after="240" w:line="151" w:lineRule="atLeast"/>
        <w:ind w:firstLine="426"/>
        <w:jc w:val="both"/>
        <w:rPr>
          <w:rFonts w:ascii="Times New Roman" w:eastAsia="academicons" w:hAnsi="Times New Roman" w:cs="Times New Roman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sz w:val="20"/>
          <w:szCs w:val="20"/>
        </w:rPr>
        <w:t>Несмотря на представленную научную работу, молочный шоколад без сахарозы по рецептуре данного исследования изготовлен не был. С учётом этого целью данного исследования было изучение эффекта добавления наполнителей и некалорийного подсластителя при производстве молочного шоколада без сахарозы с сохранением его сенсорных и качественных характеристик, поскольку это является решающим фактором для одобрения и коммерциализации продукта [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Oliveira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., 2015;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Markey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sz w:val="20"/>
          <w:szCs w:val="20"/>
        </w:rPr>
        <w:t>.,</w:t>
      </w:r>
      <w:r w:rsidR="00C95E6D">
        <w:rPr>
          <w:rFonts w:ascii="Times New Roman" w:eastAsia="academicons" w:hAnsi="Times New Roman" w:cs="Times New Roman"/>
          <w:sz w:val="20"/>
          <w:szCs w:val="20"/>
        </w:rPr>
        <w:t xml:space="preserve"> 2015].</w:t>
      </w:r>
    </w:p>
    <w:p w:rsidR="0097606D" w:rsidRDefault="0097606D" w:rsidP="0097606D">
      <w:pPr>
        <w:pStyle w:val="Default"/>
      </w:pPr>
      <w:r>
        <w:br w:type="page"/>
      </w:r>
    </w:p>
    <w:p w:rsidR="00C95E6D" w:rsidRPr="00F218D2" w:rsidRDefault="00C95E6D" w:rsidP="00C95E6D">
      <w:pPr>
        <w:spacing w:after="0" w:line="240" w:lineRule="auto"/>
        <w:jc w:val="center"/>
        <w:rPr>
          <w:rFonts w:ascii="VRDBWE+MinionPro-Regular" w:eastAsia="Times New Roman" w:hAnsi="Calibri" w:cs="VRDBWE+MinionPro-Regular"/>
          <w:color w:val="221E1F"/>
          <w:sz w:val="20"/>
          <w:szCs w:val="20"/>
          <w:lang w:eastAsia="ru-RU"/>
        </w:rPr>
        <w:sectPr w:rsidR="00C95E6D" w:rsidRPr="00F218D2" w:rsidSect="00BB5E6A">
          <w:type w:val="continuous"/>
          <w:pgSz w:w="11906" w:h="16838"/>
          <w:pgMar w:top="851" w:right="991" w:bottom="1418" w:left="1134" w:header="708" w:footer="708" w:gutter="0"/>
          <w:pgNumType w:start="62"/>
          <w:cols w:num="2" w:space="425"/>
          <w:titlePg/>
          <w:docGrid w:linePitch="360"/>
        </w:sectPr>
      </w:pPr>
    </w:p>
    <w:p w:rsidR="00C95E6D" w:rsidRDefault="00C95E6D" w:rsidP="002109F4">
      <w:pPr>
        <w:pStyle w:val="Default"/>
        <w:spacing w:line="151" w:lineRule="atLeast"/>
        <w:ind w:firstLine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lastRenderedPageBreak/>
        <w:fldChar w:fldCharType="begin"/>
      </w:r>
      <w:r>
        <w:instrText xml:space="preserve"> LINK </w:instrText>
      </w:r>
      <w:r w:rsidR="00C73C08">
        <w:instrText xml:space="preserve">Excel.Sheet.12 "D:\\Translations\\OmegaT projects\\Portfolio projects\\Text 1\\Сладость.xlsx" Лист1!R1C1:R7C12 </w:instrText>
      </w:r>
      <w:r>
        <w:instrText xml:space="preserve">\a \f 4 \h </w:instrText>
      </w:r>
      <w:r w:rsidR="006E23E6">
        <w:instrText xml:space="preserve"> \* MERGEFORMAT </w:instrText>
      </w:r>
      <w:r>
        <w:fldChar w:fldCharType="separate"/>
      </w:r>
    </w:p>
    <w:p w:rsidR="00C95E6D" w:rsidRDefault="00C95E6D" w:rsidP="002109F4">
      <w:pPr>
        <w:pStyle w:val="Default"/>
        <w:spacing w:line="151" w:lineRule="atLeast"/>
        <w:ind w:firstLine="426"/>
        <w:jc w:val="both"/>
        <w:rPr>
          <w:rFonts w:ascii="Times New Roman" w:eastAsia="academicons" w:hAnsi="Times New Roman" w:cs="Times New Roman"/>
          <w:sz w:val="20"/>
          <w:szCs w:val="20"/>
        </w:rPr>
        <w:sectPr w:rsidR="00C95E6D" w:rsidSect="00C95E6D">
          <w:type w:val="continuous"/>
          <w:pgSz w:w="11906" w:h="16838"/>
          <w:pgMar w:top="851" w:right="991" w:bottom="1418" w:left="1134" w:header="708" w:footer="708" w:gutter="0"/>
          <w:cols w:space="425"/>
          <w:titlePg/>
          <w:docGrid w:linePitch="360"/>
        </w:sectPr>
      </w:pPr>
      <w:r>
        <w:rPr>
          <w:rFonts w:ascii="Times New Roman" w:eastAsia="academicons" w:hAnsi="Times New Roman" w:cs="Times New Roman"/>
          <w:sz w:val="20"/>
          <w:szCs w:val="20"/>
        </w:rPr>
        <w:fldChar w:fldCharType="end"/>
      </w:r>
    </w:p>
    <w:p w:rsidR="00C95E6D" w:rsidRPr="00F218D2" w:rsidRDefault="009125AC" w:rsidP="009125AC">
      <w:pPr>
        <w:pStyle w:val="Default"/>
        <w:spacing w:line="151" w:lineRule="atLeast"/>
        <w:ind w:left="993" w:right="1134"/>
        <w:jc w:val="center"/>
        <w:rPr>
          <w:rFonts w:ascii="Times New Roman" w:eastAsia="academicons" w:hAnsi="Times New Roman" w:cs="Times New Roman"/>
          <w:bCs/>
          <w:sz w:val="20"/>
          <w:szCs w:val="20"/>
        </w:rPr>
      </w:pPr>
      <w:r w:rsidRPr="00754C38">
        <w:rPr>
          <w:rFonts w:ascii="Times New Roman" w:eastAsia="academicons" w:hAnsi="Times New Roman" w:cs="Times New Roman"/>
          <w:b/>
          <w:bCs/>
          <w:sz w:val="20"/>
          <w:szCs w:val="20"/>
        </w:rPr>
        <w:t>Таблица 1</w:t>
      </w:r>
      <w:r w:rsidRPr="009125AC">
        <w:rPr>
          <w:rFonts w:ascii="Times New Roman" w:eastAsia="academicons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academicons" w:hAnsi="Times New Roman" w:cs="Times New Roman"/>
          <w:b/>
          <w:bCs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b/>
          <w:bCs/>
          <w:sz w:val="20"/>
          <w:szCs w:val="20"/>
        </w:rPr>
        <w:t xml:space="preserve"> </w:t>
      </w:r>
      <w:r w:rsidRPr="009125AC">
        <w:rPr>
          <w:rFonts w:ascii="Times New Roman" w:eastAsia="academicons" w:hAnsi="Times New Roman" w:cs="Times New Roman"/>
          <w:bCs/>
          <w:sz w:val="20"/>
          <w:szCs w:val="20"/>
        </w:rPr>
        <w:t>Варьирование ингредие</w:t>
      </w:r>
      <w:bookmarkStart w:id="0" w:name="_GoBack"/>
      <w:bookmarkEnd w:id="0"/>
      <w:r w:rsidRPr="009125AC">
        <w:rPr>
          <w:rFonts w:ascii="Times New Roman" w:eastAsia="academicons" w:hAnsi="Times New Roman" w:cs="Times New Roman"/>
          <w:bCs/>
          <w:sz w:val="20"/>
          <w:szCs w:val="20"/>
        </w:rPr>
        <w:t xml:space="preserve">нтов каждого состава относительно замещаемой сахарозы сладостью </w:t>
      </w:r>
      <w:r w:rsidRPr="00F218D2">
        <w:rPr>
          <w:rFonts w:ascii="Times New Roman" w:eastAsia="academicons" w:hAnsi="Times New Roman" w:cs="Times New Roman"/>
          <w:bCs/>
          <w:sz w:val="20"/>
          <w:szCs w:val="20"/>
        </w:rPr>
        <w:t>44%.</w:t>
      </w:r>
    </w:p>
    <w:p w:rsidR="009125AC" w:rsidRPr="00754C38" w:rsidRDefault="009125AC" w:rsidP="002109F4">
      <w:pPr>
        <w:pStyle w:val="Default"/>
        <w:spacing w:line="151" w:lineRule="atLeast"/>
        <w:ind w:firstLine="426"/>
        <w:jc w:val="both"/>
        <w:rPr>
          <w:rFonts w:ascii="Times New Roman" w:eastAsia="academicons" w:hAnsi="Times New Roman" w:cs="Times New Roman"/>
          <w:sz w:val="20"/>
          <w:szCs w:val="20"/>
        </w:rPr>
      </w:pPr>
    </w:p>
    <w:p w:rsidR="009125AC" w:rsidRDefault="009125AC" w:rsidP="00BC637F">
      <w:pPr>
        <w:pStyle w:val="Pa0"/>
        <w:spacing w:before="140" w:after="80"/>
        <w:rPr>
          <w:rFonts w:ascii="Times New Roman" w:eastAsia="academicons" w:hAnsi="Times New Roman" w:cs="Times New Roman"/>
          <w:b/>
          <w:bCs/>
          <w:color w:val="000000"/>
        </w:rPr>
        <w:sectPr w:rsidR="009125AC" w:rsidSect="009125AC">
          <w:type w:val="continuous"/>
          <w:pgSz w:w="11906" w:h="16838"/>
          <w:pgMar w:top="851" w:right="991" w:bottom="1418" w:left="1134" w:header="708" w:footer="708" w:gutter="0"/>
          <w:cols w:space="425"/>
          <w:titlePg/>
          <w:docGrid w:linePitch="360"/>
        </w:sectPr>
      </w:pPr>
    </w:p>
    <w:p w:rsidR="00BC637F" w:rsidRPr="00082718" w:rsidRDefault="00BC637F" w:rsidP="00BC637F">
      <w:pPr>
        <w:pStyle w:val="Pa0"/>
        <w:spacing w:before="140" w:after="80"/>
        <w:rPr>
          <w:rFonts w:ascii="Times New Roman" w:eastAsia="academicons" w:hAnsi="Times New Roman" w:cs="Times New Roman"/>
          <w:color w:val="000000"/>
        </w:rPr>
      </w:pPr>
      <w:r w:rsidRPr="00082718">
        <w:rPr>
          <w:rFonts w:ascii="Times New Roman" w:eastAsia="academicons" w:hAnsi="Times New Roman" w:cs="Times New Roman"/>
          <w:b/>
          <w:bCs/>
          <w:color w:val="000000"/>
        </w:rPr>
        <w:t xml:space="preserve">2 Материалы и методы </w:t>
      </w:r>
    </w:p>
    <w:p w:rsidR="00A60C0E" w:rsidRDefault="00A60C0E" w:rsidP="00A60C0E">
      <w:pPr>
        <w:pStyle w:val="Pa2"/>
        <w:spacing w:after="100"/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  <w:sectPr w:rsidR="00A60C0E" w:rsidSect="00A60C0E">
          <w:type w:val="continuous"/>
          <w:pgSz w:w="11906" w:h="16838"/>
          <w:pgMar w:top="851" w:right="991" w:bottom="1418" w:left="1134" w:header="708" w:footer="708" w:gutter="0"/>
          <w:cols w:space="425"/>
          <w:titlePg/>
          <w:docGrid w:linePitch="360"/>
        </w:sectPr>
      </w:pPr>
    </w:p>
    <w:p w:rsidR="00A60C0E" w:rsidRPr="00082718" w:rsidRDefault="00A60C0E" w:rsidP="00A60C0E">
      <w:pPr>
        <w:pStyle w:val="Pa2"/>
        <w:spacing w:after="120"/>
        <w:rPr>
          <w:rFonts w:ascii="Times New Roman" w:eastAsia="academicons" w:hAnsi="Times New Roman" w:cs="Times New Roman"/>
          <w:color w:val="000000"/>
          <w:sz w:val="22"/>
          <w:szCs w:val="22"/>
        </w:rPr>
      </w:pPr>
      <w:r w:rsidRPr="00082718"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  <w:t xml:space="preserve">2.1 Материалы </w:t>
      </w:r>
    </w:p>
    <w:p w:rsidR="00BC637F" w:rsidRDefault="00BC637F" w:rsidP="00AD393D">
      <w:pPr>
        <w:pStyle w:val="Pa1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Был определён контрольный состав для приготовления молочного шоколада с использованием какао, масла какао, соевого лецитина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8002-43-5, сахарозы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57-50-1 и ароматических добавок. Аналогичным образом для образцов без сахарозы было использовано то же сырье в тех же пропорциях, а также мальтитол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585-88-6, полидекстроза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68424-04-4, инулин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9005-80-5 и стевия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CAS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57817-89-7 в качестве заменителя сахарозы. Инулин и полидекстроза относятся к наполнителям. Стевия является натуральным подсластителем, а мальтитол выполняет функции </w:t>
      </w:r>
      <w:r w:rsidR="00D33DCB">
        <w:rPr>
          <w:rFonts w:ascii="Times New Roman" w:eastAsia="academicons" w:hAnsi="Times New Roman" w:cs="Times New Roman"/>
          <w:color w:val="000000"/>
          <w:sz w:val="20"/>
          <w:szCs w:val="20"/>
        </w:rPr>
        <w:t>и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наполнителя, и подсластителя. Сладость сахарозы в продукте составляет 44%. Это значение было рассчитано исходя из ингредиентов, придающих сладость молочному шоколаду, таких как сахароза, сухое цельное молоко и сухая молочная сыворотка (равенство 1). В таблице 1 приведены различные комбинации ингредиентов, заменяющих сахарозу, для каждого образца. Процент заменителей соответствует доле замещения сахарозы в контрольном составе с учётом её теоретического вклада в сладость продукта. Сладость ингредиентов определяется в сравнении с сахарозой, степень сладости которой принимается равной 100 [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Edwards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., 2016]. </w:t>
      </w:r>
    </w:p>
    <w:p w:rsidR="003B2F24" w:rsidRPr="003B2F24" w:rsidRDefault="003B2F24" w:rsidP="003B2F24">
      <w:pPr>
        <w:pStyle w:val="Default"/>
        <w:rPr>
          <w:rFonts w:asciiTheme="minorHAnsi" w:hAnsiTheme="minorHAnsi"/>
        </w:rPr>
      </w:pPr>
    </w:p>
    <w:p w:rsidR="003B2F24" w:rsidRPr="003B2F24" w:rsidRDefault="00F571B7" w:rsidP="00AD393D">
      <w:pPr>
        <w:pStyle w:val="Default"/>
        <w:jc w:val="right"/>
        <w:rPr>
          <w:rFonts w:ascii="Times New Roman" w:eastAsia="academicons" w:hAnsi="Times New Roman" w:cs="Times New Roman"/>
          <w:sz w:val="20"/>
          <w:szCs w:val="20"/>
        </w:rPr>
      </w:pPr>
      <m:oMathPara>
        <m:oMathParaPr>
          <m:jc m:val="right"/>
        </m:oMathParaPr>
        <m:oMath>
          <m:r>
            <w:rPr>
              <w:rFonts w:ascii="Cambria Math" w:eastAsia="academicons" w:hAnsi="Cambria Math" w:cs="Times New Roman"/>
              <w:sz w:val="20"/>
              <w:szCs w:val="20"/>
            </w:rPr>
            <m:t xml:space="preserve">Сладость,%= </m:t>
          </m:r>
          <m:nary>
            <m:naryPr>
              <m:chr m:val="∑"/>
              <m:limLoc m:val="undOvr"/>
              <m:ctrlPr>
                <w:rPr>
                  <w:rFonts w:ascii="Cambria Math" w:eastAsia="academicons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="academicons" w:hAnsi="Cambria Math" w:cs="Times New Roman"/>
                  <w:sz w:val="20"/>
                  <w:szCs w:val="20"/>
                </w:rPr>
                <m:t>1</m:t>
              </m:r>
            </m:sub>
            <m:sup>
              <m:r>
                <w:rPr>
                  <w:rFonts w:ascii="Cambria Math" w:eastAsia="academicons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eastAsia="academicons" w:hAnsi="Cambria Math" w:cs="Times New Roman"/>
                  <w:sz w:val="20"/>
                  <w:szCs w:val="20"/>
                </w:rPr>
                <m:t>%</m:t>
              </m:r>
              <m:r>
                <w:rPr>
                  <w:rFonts w:ascii="Cambria Math" w:eastAsia="academicons" w:hAnsi="Cambria Math" w:cs="Times New Roman"/>
                  <w:sz w:val="20"/>
                  <w:szCs w:val="20"/>
                  <w:lang w:val="en-US"/>
                </w:rPr>
                <m:t>ID</m:t>
              </m:r>
              <m:r>
                <w:rPr>
                  <w:rFonts w:ascii="Cambria Math" w:eastAsia="academicons" w:hAnsi="Cambria Math" w:cs="Times New Roman"/>
                  <w:sz w:val="20"/>
                  <w:szCs w:val="20"/>
                </w:rPr>
                <m:t>×</m:t>
              </m:r>
              <m:r>
                <w:rPr>
                  <w:rFonts w:ascii="Cambria Math" w:eastAsia="academicons" w:hAnsi="Cambria Math" w:cs="Times New Roman"/>
                  <w:sz w:val="20"/>
                  <w:szCs w:val="20"/>
                  <w:lang w:val="en-US"/>
                </w:rPr>
                <m:t>GD</m:t>
              </m:r>
            </m:e>
          </m:nary>
          <m:r>
            <w:rPr>
              <w:rFonts w:ascii="Cambria Math" w:eastAsia="academicons" w:hAnsi="Cambria Math" w:cs="Times New Roman"/>
              <w:sz w:val="20"/>
              <w:szCs w:val="20"/>
              <w:lang w:val="en-US"/>
            </w:rPr>
            <m:t xml:space="preserve">                      (1)</m:t>
          </m:r>
          <m:r>
            <m:rPr>
              <m:sty m:val="p"/>
            </m:rPr>
            <w:rPr>
              <w:rFonts w:ascii="Times New Roman" w:eastAsia="academicons" w:hAnsi="Times New Roman" w:cs="Times New Roman"/>
              <w:sz w:val="20"/>
              <w:szCs w:val="20"/>
            </w:rPr>
            <w:br/>
          </m:r>
        </m:oMath>
      </m:oMathPara>
    </w:p>
    <w:p w:rsidR="0097606D" w:rsidRDefault="00BC637F" w:rsidP="00AD393D">
      <w:pPr>
        <w:pStyle w:val="Pa14"/>
        <w:spacing w:after="120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где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3B2F24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количество ингредиентов, придающих сладость,</w:t>
      </w:r>
      <w:r w:rsidR="00B05BD6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%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ID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3B2F24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процентная доля в составе ингредиентов, придающих сладость, а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GD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3B2F24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степень сладости ингредиента.</w:t>
      </w:r>
    </w:p>
    <w:p w:rsidR="00BC637F" w:rsidRPr="00082718" w:rsidRDefault="00BC637F" w:rsidP="00AD393D">
      <w:pPr>
        <w:pStyle w:val="Pa14"/>
        <w:spacing w:after="120"/>
        <w:jc w:val="both"/>
        <w:rPr>
          <w:rFonts w:ascii="Times New Roman" w:eastAsia="academicons" w:hAnsi="Times New Roman" w:cs="Times New Roman"/>
          <w:color w:val="000000"/>
          <w:sz w:val="22"/>
          <w:szCs w:val="22"/>
        </w:rPr>
      </w:pPr>
      <w:r w:rsidRPr="00082718"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  <w:t xml:space="preserve">2.2 Базовые приготовления </w:t>
      </w:r>
    </w:p>
    <w:p w:rsidR="0097606D" w:rsidRDefault="00BC637F" w:rsidP="0097606D">
      <w:pPr>
        <w:pStyle w:val="Pa1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Контрольный состав, как и образцы были</w:t>
      </w:r>
      <w:r w:rsidR="00974726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подготовлены на экспериментальной установке Центра исследований, развития и качества (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CIDCA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) компании "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Compa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ñí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Nacional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de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Chocolates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(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CNC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). Какао-масло и тёртое какао получили путём обжарки, дробления и прессования на производственном предприятии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CNC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Высушенное сырьё подверглось уменьшению размера частиц в рафинёре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B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ü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hler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B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ü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hler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SDY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-300",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Узвиль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, Швейцария) до размера частиц, близкого к 18–22 мкм. Смесь сухих ингредиентов, какао-масла и тёртого какао готовилась в миксере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Hobart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Hobart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Corporation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SE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500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Hobart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Англия) в течение 15 мин. Процесс конширования проводили на оборудовании "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Zum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Wald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</w:t>
      </w:r>
      <w:r w:rsidR="00021BA4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("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Maschinen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-</w:t>
      </w:r>
      <w:r w:rsidR="00021BA4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&amp;</w:t>
      </w:r>
      <w:r w:rsidR="00021BA4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Apparatebau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</w:t>
      </w:r>
      <w:r w:rsidR="00021BA4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030321,</w:t>
      </w:r>
      <w:r w:rsidR="006E066C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Швейцария) вместимостью 8 кг в течение 24 часов при температуре 50°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до получения шоколадно</w:t>
      </w:r>
      <w:r w:rsidR="00D00C2F">
        <w:rPr>
          <w:rFonts w:ascii="Times New Roman" w:eastAsia="academicons" w:hAnsi="Times New Roman" w:cs="Times New Roman"/>
          <w:color w:val="000000"/>
          <w:sz w:val="20"/>
          <w:szCs w:val="20"/>
        </w:rPr>
        <w:t>й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E65E6F">
        <w:rPr>
          <w:rFonts w:ascii="Times New Roman" w:eastAsia="academicons" w:hAnsi="Times New Roman" w:cs="Times New Roman"/>
          <w:color w:val="000000"/>
          <w:sz w:val="20"/>
          <w:szCs w:val="20"/>
        </w:rPr>
        <w:t>массы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, пригодной для формовки. Порядок добавления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ингредиентов и добавок осуществлялся согласно производственным протоколам. Затем образец темперировался на мраморном камне. Процесс темперирования начинался с полного расплавления жировой части шоколада при температуре 45°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Затем проводилось охлаждение с высоким трением до достижения образцом температуры 27°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После чего образец шоколада нагревали до 30°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, формовали в пластиковых лотках и охлаждали до 10-13°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Затем продукт охлаждал</w:t>
      </w:r>
      <w:r w:rsidR="00366655">
        <w:rPr>
          <w:rFonts w:ascii="Times New Roman" w:eastAsia="academicons" w:hAnsi="Times New Roman" w:cs="Times New Roman"/>
          <w:color w:val="000000"/>
          <w:sz w:val="20"/>
          <w:szCs w:val="20"/>
        </w:rPr>
        <w:t>ся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в холодильнике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Thermo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Scientific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Thermo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Fisher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Scientific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Fridge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Elextrolux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",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Уолтем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, Массачусетс) при температуре 4-6°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и, наконец, упаковывал</w:t>
      </w:r>
      <w:r w:rsidR="00366655">
        <w:rPr>
          <w:rFonts w:ascii="Times New Roman" w:eastAsia="academicons" w:hAnsi="Times New Roman" w:cs="Times New Roman"/>
          <w:color w:val="000000"/>
          <w:sz w:val="20"/>
          <w:szCs w:val="20"/>
        </w:rPr>
        <w:t>ся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вручную.</w:t>
      </w:r>
    </w:p>
    <w:p w:rsidR="0097606D" w:rsidRDefault="0097606D" w:rsidP="0097606D">
      <w:pPr>
        <w:pStyle w:val="Pa1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</w:p>
    <w:p w:rsidR="00BC637F" w:rsidRDefault="00BC637F" w:rsidP="0097606D">
      <w:pPr>
        <w:pStyle w:val="Pa1"/>
        <w:ind w:firstLine="426"/>
        <w:jc w:val="both"/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</w:pPr>
      <w:r w:rsidRPr="00082718"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  <w:t xml:space="preserve">2.3 Сенсорный анализ </w:t>
      </w:r>
    </w:p>
    <w:p w:rsidR="0097606D" w:rsidRPr="0097606D" w:rsidRDefault="0097606D" w:rsidP="0097606D">
      <w:pPr>
        <w:pStyle w:val="Default"/>
        <w:rPr>
          <w:rFonts w:asciiTheme="minorHAnsi" w:hAnsiTheme="minorHAnsi"/>
        </w:rPr>
      </w:pPr>
    </w:p>
    <w:p w:rsidR="00BC637F" w:rsidRPr="00754C38" w:rsidRDefault="00BC637F" w:rsidP="00AD393D">
      <w:pPr>
        <w:pStyle w:val="Pa1"/>
        <w:spacing w:after="240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Сенсорное восприятие для каждого состава оценивалось в группе из 6 регулярных потребителей контрольного молочного шоколада. Было предложено дать оценку сходства различных составов с контрольным образцом по шкале от 1 до 5 с соответствующими комментариями. Пять составов, получивших наивысшую оценку в анализе сенсорного восприятия, были подвергнуты описательному тесту, в частности </w:t>
      </w:r>
      <w:r w:rsidR="00920BA4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вкусовому профилю, в соответствии со стандартом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NTC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3929" Колумбийского института технических стандартов и сертификации от 1996 г., в котором было проведено сравнение с контрольным образцом по 6 вкусовым качествам. Оценивались следующие качества: сладкий, молочный, шоколадный, карамельный, горький и аромат. Кроме того, оценивалось такое качество текстуры, как скорость таяния, которая определялась как время, необходимое для таяния половины шоколадного ломтика при жевании во рту. Испытание для этого качества выполнялось в соответствии со стандартом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NTC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4489" Колумбийского института технических стандартов и сертификации от 1998 г. (методы определения текстурного профиля). Испытания проводились дегустационной комиссией Центра исследований, развития и качества (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CIDCA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,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CNC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) в Рионегро, Колумбия, в дегустационных кабинках с использованием программы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FIZZ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Acquisition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версии 2.47, предназначенной для сенсорного анализа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FIZZ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Acquisition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"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Biosystemes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",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V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2.47, Франция). В состав комиссии вошли 7 участников, предварительно прошедших обучение по стандартам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GTC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245-246" Колумбийского института технических стандартов и сертификации от 2014 г. </w:t>
      </w:r>
    </w:p>
    <w:p w:rsidR="00BC637F" w:rsidRPr="00754C38" w:rsidRDefault="00836DEB" w:rsidP="00AD393D">
      <w:pPr>
        <w:pStyle w:val="Pa1"/>
        <w:spacing w:after="240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>
        <w:rPr>
          <w:rFonts w:ascii="Times New Roman" w:eastAsia="academicons" w:hAnsi="Times New Roman" w:cs="Times New Roman"/>
          <w:color w:val="000000"/>
          <w:sz w:val="20"/>
          <w:szCs w:val="20"/>
        </w:rPr>
        <w:t>Кроме того, был проведё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н тест предпочтительности и сходства между контрольным образцом и образцами с наименьшим отличием, чтобы определить состав, наиболее схожий по сенсорным характеристикам с контрольным образцом. Тест 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lastRenderedPageBreak/>
        <w:t>проводился с применением программного обеспечения "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Fizz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Acquisition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Software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версии 2.51 с участием 21 прошедшего и непрошедшего обучение члена комиссии по методологии, описанной в стандарте "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NTC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3939" от 2015 г. (упорядочивание по заданному критерию). Испытания на вкусовые качества проводились согласно стандарта "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NTC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3929" от 1996 г. (методы определения вкусового профиля). Аналогичным образом, стандарт "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NTC</w:t>
      </w:r>
      <w:r w:rsidR="00BC637F"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4489" от 1998 г. (методы определения текстурного профиля) использовался для определения качества текстуры. В ходе сенсорных тестов каждый эксперт оценивал каждый состав в трёх экземплярах. </w:t>
      </w:r>
    </w:p>
    <w:p w:rsidR="00BC637F" w:rsidRPr="00082718" w:rsidRDefault="00BC637F" w:rsidP="00BC637F">
      <w:pPr>
        <w:pStyle w:val="Pa16"/>
        <w:spacing w:before="160" w:after="100"/>
        <w:rPr>
          <w:rFonts w:ascii="Times New Roman" w:eastAsia="academicons" w:hAnsi="Times New Roman" w:cs="Times New Roman"/>
          <w:color w:val="000000"/>
          <w:sz w:val="22"/>
          <w:szCs w:val="22"/>
        </w:rPr>
      </w:pPr>
      <w:r w:rsidRPr="00082718">
        <w:rPr>
          <w:rFonts w:ascii="Times New Roman" w:eastAsia="academicons" w:hAnsi="Times New Roman" w:cs="Times New Roman"/>
          <w:b/>
          <w:bCs/>
          <w:i/>
          <w:iCs/>
          <w:color w:val="000000"/>
          <w:sz w:val="22"/>
          <w:szCs w:val="22"/>
        </w:rPr>
        <w:t xml:space="preserve">2.4 Текстурные и реологические измерения отобранных образцов </w:t>
      </w:r>
    </w:p>
    <w:p w:rsidR="00BC637F" w:rsidRPr="00754C38" w:rsidRDefault="00BC637F" w:rsidP="00AD393D">
      <w:pPr>
        <w:pStyle w:val="Pa1"/>
        <w:spacing w:after="240"/>
        <w:ind w:firstLine="426"/>
        <w:jc w:val="both"/>
        <w:rPr>
          <w:rFonts w:ascii="Times New Roman" w:eastAsia="academicons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После проведения сенсорных тестов были отобраны два состава, которые затем сравнивались с контрольным образцом по реологическим и текстурным свойствам. Твёрдость шоколадных плиток (80</w:t>
      </w:r>
      <w:r w:rsidR="00E11DE2">
        <w:rPr>
          <w:rFonts w:asciiTheme="minorHAnsi" w:hAnsiTheme="minorHAnsi"/>
        </w:rPr>
        <w:t> 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×</w:t>
      </w:r>
      <w:r w:rsidR="00E11DE2">
        <w:rPr>
          <w:rFonts w:ascii="Times New Roman" w:eastAsia="academicons" w:hAnsi="Times New Roman" w:cs="Times New Roman"/>
          <w:color w:val="000000"/>
          <w:sz w:val="20"/>
          <w:szCs w:val="20"/>
        </w:rPr>
        <w:t> 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14</w:t>
      </w:r>
      <w:r w:rsidR="00E11DE2">
        <w:rPr>
          <w:rFonts w:ascii="Times New Roman" w:eastAsia="academicons" w:hAnsi="Times New Roman" w:cs="Times New Roman"/>
          <w:color w:val="000000"/>
          <w:sz w:val="20"/>
          <w:szCs w:val="20"/>
        </w:rPr>
        <w:t> 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×</w:t>
      </w:r>
      <w:r w:rsidR="00E11DE2">
        <w:rPr>
          <w:rFonts w:ascii="Times New Roman" w:eastAsia="academicons" w:hAnsi="Times New Roman" w:cs="Times New Roman"/>
          <w:color w:val="000000"/>
          <w:sz w:val="20"/>
          <w:szCs w:val="20"/>
        </w:rPr>
        <w:t> 6,8 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мм) определялась с помощью текстурометра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TA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XT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-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Plus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TA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XT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-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Plus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Stable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Micro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System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", Лондон, Великобритания) с зондом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/3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PB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", установка для испытаний на трёхточечный изгиб) и датчиком нагрузки на 30 кгс. Образец помещался на две параллельные опоры, расположенные на известном расстоянии (6 мм), а твёрдость определялась как максимальное усилие </w:t>
      </w:r>
      <w:r w:rsidRPr="00F571B7">
        <w:rPr>
          <w:rFonts w:ascii="Times New Roman" w:eastAsia="academicons" w:hAnsi="Times New Roman" w:cs="Times New Roman"/>
          <w:i/>
          <w:color w:val="000000"/>
          <w:sz w:val="20"/>
          <w:szCs w:val="20"/>
          <w:lang w:val="en-US"/>
        </w:rPr>
        <w:t>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, необходимое для разрушения образца. Параметры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измерения были следующими: скорость предварительного испытания </w:t>
      </w:r>
      <w:r w:rsidR="000357A5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1 мм/с, скорость испытания </w:t>
      </w:r>
      <w:r w:rsidR="000357A5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2 мм/с, расстояние </w:t>
      </w:r>
      <w:r w:rsidR="000357A5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10 мм. Для каждого состава было подготовлено три производственных партии, и </w:t>
      </w:r>
      <w:r w:rsidR="00960093">
        <w:rPr>
          <w:rFonts w:ascii="Times New Roman" w:eastAsia="academicons" w:hAnsi="Times New Roman" w:cs="Times New Roman"/>
          <w:color w:val="000000"/>
          <w:sz w:val="20"/>
          <w:szCs w:val="20"/>
        </w:rPr>
        <w:t>из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каждой партии было </w:t>
      </w:r>
      <w:r w:rsidR="00960093">
        <w:rPr>
          <w:rFonts w:ascii="Times New Roman" w:eastAsia="academicons" w:hAnsi="Times New Roman" w:cs="Times New Roman"/>
          <w:color w:val="000000"/>
          <w:sz w:val="20"/>
          <w:szCs w:val="20"/>
        </w:rPr>
        <w:t>взято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7 </w:t>
      </w:r>
      <w:r w:rsidR="00960093">
        <w:rPr>
          <w:rFonts w:ascii="Times New Roman" w:eastAsia="academicons" w:hAnsi="Times New Roman" w:cs="Times New Roman"/>
          <w:color w:val="000000"/>
          <w:sz w:val="20"/>
          <w:szCs w:val="20"/>
        </w:rPr>
        <w:t>образцов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. </w:t>
      </w:r>
    </w:p>
    <w:p w:rsidR="00BC637F" w:rsidRPr="00754C38" w:rsidRDefault="00BC637F" w:rsidP="00AD393D">
      <w:pPr>
        <w:pStyle w:val="Pa1"/>
        <w:spacing w:after="240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Для проведения реологических испытаний были подготовлены три производственные партии для каждого состава после процесса конширования. Измерения проводились </w:t>
      </w:r>
      <w:r w:rsidR="0001733C">
        <w:rPr>
          <w:rFonts w:ascii="Times New Roman" w:eastAsia="academicons" w:hAnsi="Times New Roman" w:cs="Times New Roman"/>
          <w:color w:val="000000"/>
          <w:sz w:val="20"/>
          <w:szCs w:val="20"/>
        </w:rPr>
        <w:t>трижды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Жидкие образцы измерялись при температуре 40°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C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с помощью реометра "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Physica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MCR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101" ("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Anton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Paar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",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Грац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, Австрия), оснащённого концентрическим цилиндром (внутренний диаметр </w:t>
      </w:r>
      <w:r w:rsidR="00EE7B77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26,6 мм, внешний диаметр </w:t>
      </w:r>
      <w:r w:rsidR="00EE7B77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28,7 мм, длина </w:t>
      </w:r>
      <w:r w:rsidR="00EE7B77">
        <w:rPr>
          <w:rFonts w:ascii="Times New Roman" w:eastAsia="academicons" w:hAnsi="Times New Roman" w:cs="Times New Roman"/>
          <w:color w:val="000000"/>
          <w:sz w:val="20"/>
          <w:szCs w:val="20"/>
        </w:rPr>
        <w:t>–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40 мм). Образцы были расплавлены для предотвращения образования кристаллов. Кривые потока измерялись как функция увеличения скорости сдвига от 0,1 с</w:t>
      </w:r>
      <w:r w:rsidRPr="00511A92">
        <w:rPr>
          <w:rFonts w:ascii="Times New Roman" w:eastAsia="academicons" w:hAnsi="Times New Roman" w:cs="Times New Roman"/>
          <w:color w:val="000000"/>
          <w:position w:val="2"/>
          <w:sz w:val="16"/>
          <w:szCs w:val="20"/>
          <w:vertAlign w:val="superscript"/>
        </w:rPr>
        <w:t>-1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до 50 с</w:t>
      </w:r>
      <w:r w:rsidRPr="00511A92">
        <w:rPr>
          <w:rFonts w:ascii="Times New Roman" w:eastAsia="academicons" w:hAnsi="Times New Roman" w:cs="Times New Roman"/>
          <w:color w:val="000000"/>
          <w:position w:val="2"/>
          <w:sz w:val="16"/>
          <w:szCs w:val="20"/>
          <w:vertAlign w:val="superscript"/>
        </w:rPr>
        <w:t>-1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. Сбор данных осуществлялся программой "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RHEOPLUS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/32" версии 2.66. Реологическая кривая течения шоколада была построена с использованием модели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Кассона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. Был определён предел текучести по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Кассону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(Па) и вязкость по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Кассону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Па·с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) [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Glicerina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., 2016; </w:t>
      </w:r>
      <w:proofErr w:type="spellStart"/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Aidoo</w:t>
      </w:r>
      <w:proofErr w:type="spellEnd"/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et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al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 xml:space="preserve">., 2014; 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  <w:lang w:val="en-US"/>
        </w:rPr>
        <w:t>Beckett</w:t>
      </w:r>
      <w:r w:rsidRPr="00754C38">
        <w:rPr>
          <w:rFonts w:ascii="Times New Roman" w:eastAsia="academicons" w:hAnsi="Times New Roman" w:cs="Times New Roman"/>
          <w:color w:val="000000"/>
          <w:sz w:val="20"/>
          <w:szCs w:val="20"/>
        </w:rPr>
        <w:t>, 2009].</w:t>
      </w:r>
      <w:r w:rsidRPr="00754C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C637F" w:rsidRPr="00082718" w:rsidRDefault="00BC637F" w:rsidP="00BC637F">
      <w:pPr>
        <w:pStyle w:val="Pa1"/>
        <w:spacing w:after="100"/>
        <w:jc w:val="both"/>
        <w:rPr>
          <w:rFonts w:ascii="Times New Roman" w:eastAsia="academicons" w:hAnsi="Times New Roman" w:cs="Times New Roman"/>
          <w:color w:val="000000"/>
          <w:sz w:val="22"/>
          <w:szCs w:val="22"/>
        </w:rPr>
      </w:pPr>
      <w:r w:rsidRPr="0008271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2.5 Пищевая ценность</w:t>
      </w:r>
    </w:p>
    <w:p w:rsidR="00176AB8" w:rsidRDefault="00C123E4" w:rsidP="00176AB8">
      <w:pPr>
        <w:pStyle w:val="Pa17"/>
        <w:spacing w:after="40"/>
        <w:jc w:val="both"/>
        <w:rPr>
          <w:rFonts w:ascii="Times New Roman" w:eastAsia="academicons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academicons" w:hAnsi="Times New Roman" w:cs="Times New Roman"/>
          <w:bCs/>
          <w:color w:val="000000"/>
          <w:sz w:val="20"/>
          <w:szCs w:val="20"/>
        </w:rPr>
        <w:t>…………………………………………………………….</w:t>
      </w:r>
    </w:p>
    <w:p w:rsidR="00176AB8" w:rsidRPr="00AF2563" w:rsidRDefault="001630B3" w:rsidP="00D24D1C">
      <w:pPr>
        <w:pStyle w:val="Default"/>
        <w:ind w:left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6AB8" w:rsidRPr="00176AB8" w:rsidRDefault="00176AB8" w:rsidP="00176AB8">
      <w:pPr>
        <w:pStyle w:val="Default"/>
        <w:rPr>
          <w:rFonts w:ascii="Times New Roman" w:hAnsi="Times New Roman" w:cs="Times New Roman"/>
          <w:b/>
          <w:lang w:val="en-US"/>
        </w:rPr>
        <w:sectPr w:rsidR="00176AB8" w:rsidRPr="00176AB8" w:rsidSect="002109F4">
          <w:type w:val="continuous"/>
          <w:pgSz w:w="11906" w:h="16838"/>
          <w:pgMar w:top="851" w:right="991" w:bottom="1418" w:left="1134" w:header="708" w:footer="708" w:gutter="0"/>
          <w:cols w:num="2" w:space="425"/>
          <w:titlePg/>
          <w:docGrid w:linePitch="360"/>
        </w:sectPr>
      </w:pPr>
    </w:p>
    <w:p w:rsidR="00CF471E" w:rsidRDefault="00CF471E" w:rsidP="00176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C0E" w:rsidRDefault="00A60C0E" w:rsidP="00176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C0E" w:rsidRDefault="00A60C0E" w:rsidP="00176AB8">
      <w:pPr>
        <w:rPr>
          <w:rFonts w:ascii="Times New Roman" w:hAnsi="Times New Roman" w:cs="Times New Roman"/>
          <w:b/>
          <w:sz w:val="24"/>
          <w:szCs w:val="24"/>
        </w:rPr>
      </w:pPr>
      <w:r w:rsidRPr="00A60C0E">
        <w:rPr>
          <w:rFonts w:ascii="Times New Roman" w:hAnsi="Times New Roman" w:cs="Times New Roman"/>
          <w:b/>
          <w:sz w:val="24"/>
          <w:szCs w:val="24"/>
        </w:rPr>
        <w:t>Источник:</w:t>
      </w:r>
    </w:p>
    <w:p w:rsidR="00A60C0E" w:rsidRDefault="009E0847" w:rsidP="00ED7844">
      <w:pPr>
        <w:ind w:firstLine="426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7844" w:rsidRPr="00063B6E">
          <w:rPr>
            <w:rStyle w:val="ab"/>
            <w:rFonts w:ascii="Times New Roman" w:hAnsi="Times New Roman" w:cs="Times New Roman"/>
            <w:sz w:val="24"/>
            <w:szCs w:val="24"/>
          </w:rPr>
          <w:t>https://www.scielo.br/j/cta/a/CX8bNYgtFhYQwtYhzBsgNzb/?lang=en</w:t>
        </w:r>
      </w:hyperlink>
    </w:p>
    <w:p w:rsidR="00ED7844" w:rsidRPr="00A60C0E" w:rsidRDefault="007D2191" w:rsidP="00ED7844">
      <w:pPr>
        <w:rPr>
          <w:rFonts w:ascii="Times New Roman" w:hAnsi="Times New Roman" w:cs="Times New Roman"/>
          <w:sz w:val="24"/>
          <w:szCs w:val="24"/>
        </w:rPr>
      </w:pPr>
      <w:r w:rsidRPr="007D2191">
        <w:rPr>
          <w:rFonts w:ascii="Times New Roman" w:hAnsi="Times New Roman" w:cs="Times New Roman"/>
          <w:b/>
          <w:sz w:val="24"/>
          <w:szCs w:val="24"/>
        </w:rPr>
        <w:t>Перевод:</w:t>
      </w:r>
      <w:r>
        <w:rPr>
          <w:rFonts w:ascii="Times New Roman" w:hAnsi="Times New Roman" w:cs="Times New Roman"/>
          <w:sz w:val="24"/>
          <w:szCs w:val="24"/>
        </w:rPr>
        <w:t xml:space="preserve"> Алексей Виноградов</w:t>
      </w:r>
    </w:p>
    <w:sectPr w:rsidR="00ED7844" w:rsidRPr="00A60C0E" w:rsidSect="00754C38">
      <w:type w:val="continuous"/>
      <w:pgSz w:w="11906" w:h="16838"/>
      <w:pgMar w:top="1701" w:right="991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47" w:rsidRDefault="009E0847" w:rsidP="0089037B">
      <w:pPr>
        <w:spacing w:after="0" w:line="240" w:lineRule="auto"/>
      </w:pPr>
      <w:r>
        <w:separator/>
      </w:r>
    </w:p>
  </w:endnote>
  <w:endnote w:type="continuationSeparator" w:id="0">
    <w:p w:rsidR="009E0847" w:rsidRDefault="009E0847" w:rsidP="008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icons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VRDBWE+MinionPro-Regular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933707"/>
      <w:docPartObj>
        <w:docPartGallery w:val="Page Numbers (Bottom of Page)"/>
        <w:docPartUnique/>
      </w:docPartObj>
    </w:sdtPr>
    <w:sdtEndPr/>
    <w:sdtContent>
      <w:p w:rsidR="00BB5E6A" w:rsidRDefault="00BB5E6A" w:rsidP="00BB5E6A">
        <w:pPr>
          <w:pStyle w:val="a6"/>
          <w:tabs>
            <w:tab w:val="clear" w:pos="9355"/>
            <w:tab w:val="left" w:pos="9072"/>
          </w:tabs>
          <w:ind w:right="-142"/>
        </w:pPr>
      </w:p>
      <w:p w:rsidR="00BB5E6A" w:rsidRPr="00BB5E6A" w:rsidRDefault="009E0847" w:rsidP="00BB5E6A">
        <w:pPr>
          <w:pStyle w:val="a6"/>
          <w:tabs>
            <w:tab w:val="clear" w:pos="9355"/>
            <w:tab w:val="left" w:pos="9072"/>
          </w:tabs>
          <w:ind w:right="-142"/>
          <w:rPr>
            <w:lang w:val="en-US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4A" w:rsidRDefault="0045314A" w:rsidP="00754C38">
    <w:pPr>
      <w:pStyle w:val="Default"/>
      <w:spacing w:line="151" w:lineRule="atLeast"/>
      <w:rPr>
        <w:rFonts w:ascii="Times New Roman" w:eastAsia="academicons" w:hAnsi="Times New Roman" w:cs="Times New Roman"/>
        <w:iCs/>
        <w:sz w:val="18"/>
        <w:szCs w:val="18"/>
      </w:rPr>
    </w:pPr>
  </w:p>
  <w:p w:rsidR="00D00C2F" w:rsidRDefault="00D00C2F" w:rsidP="00754C38">
    <w:pPr>
      <w:pStyle w:val="Default"/>
      <w:spacing w:line="151" w:lineRule="atLeast"/>
      <w:rPr>
        <w:rFonts w:ascii="Times New Roman" w:eastAsia="academicons" w:hAnsi="Times New Roman" w:cs="Times New Roman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47" w:rsidRDefault="009E0847" w:rsidP="0089037B">
      <w:pPr>
        <w:spacing w:after="0" w:line="240" w:lineRule="auto"/>
      </w:pPr>
      <w:r>
        <w:separator/>
      </w:r>
    </w:p>
  </w:footnote>
  <w:footnote w:type="continuationSeparator" w:id="0">
    <w:p w:rsidR="009E0847" w:rsidRDefault="009E0847" w:rsidP="0089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14EA"/>
    <w:multiLevelType w:val="hybridMultilevel"/>
    <w:tmpl w:val="F91C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64C83"/>
    <w:multiLevelType w:val="hybridMultilevel"/>
    <w:tmpl w:val="7EB0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7F"/>
    <w:rsid w:val="0001733C"/>
    <w:rsid w:val="00021BA4"/>
    <w:rsid w:val="000357A5"/>
    <w:rsid w:val="00052AE2"/>
    <w:rsid w:val="000710B1"/>
    <w:rsid w:val="00082718"/>
    <w:rsid w:val="000B19D6"/>
    <w:rsid w:val="000C55FD"/>
    <w:rsid w:val="000C7FBA"/>
    <w:rsid w:val="000D745C"/>
    <w:rsid w:val="001630B3"/>
    <w:rsid w:val="00173F12"/>
    <w:rsid w:val="00176AB8"/>
    <w:rsid w:val="00193F5A"/>
    <w:rsid w:val="002109F4"/>
    <w:rsid w:val="002C7E9F"/>
    <w:rsid w:val="00340007"/>
    <w:rsid w:val="00366655"/>
    <w:rsid w:val="00383076"/>
    <w:rsid w:val="003B2F24"/>
    <w:rsid w:val="003F1FA4"/>
    <w:rsid w:val="0045314A"/>
    <w:rsid w:val="00511A92"/>
    <w:rsid w:val="00592143"/>
    <w:rsid w:val="00616BED"/>
    <w:rsid w:val="006A1587"/>
    <w:rsid w:val="006C444B"/>
    <w:rsid w:val="006D3715"/>
    <w:rsid w:val="006E066C"/>
    <w:rsid w:val="006E23E6"/>
    <w:rsid w:val="006E5DA2"/>
    <w:rsid w:val="007057AE"/>
    <w:rsid w:val="0071716C"/>
    <w:rsid w:val="007228B4"/>
    <w:rsid w:val="00726EFA"/>
    <w:rsid w:val="00754C38"/>
    <w:rsid w:val="00773224"/>
    <w:rsid w:val="007A5F77"/>
    <w:rsid w:val="007D2191"/>
    <w:rsid w:val="00820778"/>
    <w:rsid w:val="00836DEB"/>
    <w:rsid w:val="0089037B"/>
    <w:rsid w:val="008A1F0A"/>
    <w:rsid w:val="008A2E4A"/>
    <w:rsid w:val="008A73B0"/>
    <w:rsid w:val="009071D6"/>
    <w:rsid w:val="009125AC"/>
    <w:rsid w:val="00920BA4"/>
    <w:rsid w:val="00960093"/>
    <w:rsid w:val="00974726"/>
    <w:rsid w:val="0097606D"/>
    <w:rsid w:val="009B54AC"/>
    <w:rsid w:val="009C6963"/>
    <w:rsid w:val="009E0847"/>
    <w:rsid w:val="00A36DB3"/>
    <w:rsid w:val="00A60C0E"/>
    <w:rsid w:val="00A83630"/>
    <w:rsid w:val="00AD393D"/>
    <w:rsid w:val="00AF2563"/>
    <w:rsid w:val="00B05BD6"/>
    <w:rsid w:val="00B9211C"/>
    <w:rsid w:val="00BB1128"/>
    <w:rsid w:val="00BB5E6A"/>
    <w:rsid w:val="00BC637F"/>
    <w:rsid w:val="00BD324A"/>
    <w:rsid w:val="00C123E4"/>
    <w:rsid w:val="00C1768C"/>
    <w:rsid w:val="00C50312"/>
    <w:rsid w:val="00C73C08"/>
    <w:rsid w:val="00C95E6D"/>
    <w:rsid w:val="00CF471E"/>
    <w:rsid w:val="00D00704"/>
    <w:rsid w:val="00D00C2F"/>
    <w:rsid w:val="00D24D1C"/>
    <w:rsid w:val="00D33DCB"/>
    <w:rsid w:val="00DD3607"/>
    <w:rsid w:val="00E11DE2"/>
    <w:rsid w:val="00E1260E"/>
    <w:rsid w:val="00E27B53"/>
    <w:rsid w:val="00E65E6F"/>
    <w:rsid w:val="00ED069C"/>
    <w:rsid w:val="00ED7844"/>
    <w:rsid w:val="00EE7B77"/>
    <w:rsid w:val="00F218D2"/>
    <w:rsid w:val="00F571B7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73373-438D-4C2D-8416-A5B94B3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37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BC637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C637F"/>
    <w:rPr>
      <w:rFonts w:cs="Minion Pro"/>
      <w:color w:val="000000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BC637F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BC637F"/>
    <w:pPr>
      <w:spacing w:line="15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BC637F"/>
    <w:rPr>
      <w:rFonts w:cs="Minion Pro"/>
      <w:i/>
      <w:iCs/>
      <w:color w:val="000000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BC637F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C637F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BC637F"/>
    <w:pPr>
      <w:spacing w:line="20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C637F"/>
    <w:rPr>
      <w:rFonts w:cs="Minion Pro"/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BC637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BC637F"/>
    <w:pPr>
      <w:spacing w:line="1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BC637F"/>
    <w:pPr>
      <w:spacing w:line="17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C637F"/>
    <w:pPr>
      <w:spacing w:line="17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BC637F"/>
    <w:rPr>
      <w:rFonts w:cs="Minion Pro"/>
      <w:color w:val="000000"/>
      <w:sz w:val="11"/>
      <w:szCs w:val="11"/>
    </w:rPr>
  </w:style>
  <w:style w:type="paragraph" w:styleId="a3">
    <w:name w:val="header"/>
    <w:basedOn w:val="a"/>
    <w:link w:val="a5"/>
    <w:uiPriority w:val="99"/>
    <w:unhideWhenUsed/>
    <w:rsid w:val="0089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3"/>
    <w:uiPriority w:val="99"/>
    <w:rsid w:val="0089037B"/>
  </w:style>
  <w:style w:type="paragraph" w:styleId="a6">
    <w:name w:val="footer"/>
    <w:basedOn w:val="a"/>
    <w:link w:val="a8"/>
    <w:uiPriority w:val="99"/>
    <w:unhideWhenUsed/>
    <w:rsid w:val="00890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rsid w:val="0089037B"/>
  </w:style>
  <w:style w:type="table" w:styleId="a9">
    <w:name w:val="Table Grid"/>
    <w:basedOn w:val="a1"/>
    <w:uiPriority w:val="39"/>
    <w:rsid w:val="002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B2F24"/>
    <w:rPr>
      <w:color w:val="808080"/>
    </w:rPr>
  </w:style>
  <w:style w:type="character" w:styleId="ab">
    <w:name w:val="Hyperlink"/>
    <w:basedOn w:val="a0"/>
    <w:uiPriority w:val="99"/>
    <w:unhideWhenUsed/>
    <w:rsid w:val="00176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cielo.br/j/cta/a/CX8bNYgtFhYQwtYhzBsgNzb/?lang=e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D6A3-879F-4224-854C-E12A1830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2021-06-21T04:52:00Z</dcterms:created>
  <dcterms:modified xsi:type="dcterms:W3CDTF">2021-06-21T05:01:00Z</dcterms:modified>
</cp:coreProperties>
</file>