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C7" w:rsidRPr="00D841EC" w:rsidRDefault="001F45C7" w:rsidP="008D679A">
      <w:pPr>
        <w:spacing w:before="0" w:after="0" w:line="234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41EC">
        <w:rPr>
          <w:rFonts w:ascii="Times New Roman" w:hAnsi="Times New Roman" w:cs="Times New Roman"/>
          <w:b/>
          <w:sz w:val="28"/>
          <w:szCs w:val="28"/>
          <w:lang w:val="ru-RU"/>
        </w:rPr>
        <w:t>3 Компоненты блокчейн-технологии</w:t>
      </w:r>
    </w:p>
    <w:p w:rsidR="001F45C7" w:rsidRPr="00E40D34" w:rsidRDefault="001F45C7" w:rsidP="00E40D34">
      <w:pPr>
        <w:spacing w:before="309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pacing w:val="-60"/>
          <w:sz w:val="24"/>
          <w:szCs w:val="24"/>
          <w:lang w:val="ru-RU"/>
        </w:rPr>
        <w:t xml:space="preserve">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 блокчейн может показаться сложной. Однако её проще понять, если рассматривать каждый компонент по отдельности. </w:t>
      </w:r>
      <w:r w:rsidR="00CA3DED">
        <w:rPr>
          <w:rFonts w:ascii="Times New Roman" w:hAnsi="Times New Roman" w:cs="Times New Roman"/>
          <w:sz w:val="24"/>
          <w:szCs w:val="24"/>
          <w:lang w:val="ru-RU"/>
        </w:rPr>
        <w:t>В общих чертах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 блокчейн использует хорошо известные механизмы вычислительных систем и криптографические примитивы (криптографические хеш-функции, цифровые подписи, асимметричное шифрование) в сочетании с концепциями хранения записей (например, "только добавление" реестров). В этом разделе </w:t>
      </w:r>
      <w:r w:rsidR="00825D5D" w:rsidRPr="00E40D34">
        <w:rPr>
          <w:rFonts w:ascii="Times New Roman" w:hAnsi="Times New Roman" w:cs="Times New Roman"/>
          <w:sz w:val="24"/>
          <w:szCs w:val="24"/>
          <w:lang w:val="ru-RU"/>
        </w:rPr>
        <w:t>отдельн</w:t>
      </w:r>
      <w:r w:rsidR="00825D5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25D5D"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38F">
        <w:rPr>
          <w:rFonts w:ascii="Times New Roman" w:hAnsi="Times New Roman" w:cs="Times New Roman"/>
          <w:sz w:val="24"/>
          <w:szCs w:val="24"/>
          <w:lang w:val="ru-RU"/>
        </w:rPr>
        <w:t>рассматриваю</w:t>
      </w:r>
      <w:r w:rsidR="00825D5D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D5D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основн</w:t>
      </w:r>
      <w:r w:rsidR="00825D5D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</w:t>
      </w:r>
      <w:r w:rsidR="00825D5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: криптографические хеш-функции, транзакции, асимметричное шифрование, адреса, реестры, блоки и то, как блоки связываются в цепочку.</w:t>
      </w:r>
    </w:p>
    <w:p w:rsidR="001F45C7" w:rsidRPr="000522B0" w:rsidRDefault="001F45C7" w:rsidP="00E40D34">
      <w:pPr>
        <w:spacing w:before="278" w:after="0" w:line="255" w:lineRule="exact"/>
        <w:ind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522B0">
        <w:rPr>
          <w:rFonts w:ascii="Times New Roman" w:hAnsi="Times New Roman" w:cs="Times New Roman"/>
          <w:b/>
          <w:sz w:val="26"/>
          <w:szCs w:val="26"/>
          <w:lang w:val="ru-RU"/>
        </w:rPr>
        <w:t>3.1 Криптографические хеш-функции</w:t>
      </w:r>
    </w:p>
    <w:p w:rsidR="001F45C7" w:rsidRPr="00E40D34" w:rsidRDefault="001F45C7" w:rsidP="00E40D34">
      <w:pPr>
        <w:spacing w:before="239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A5C59">
        <w:rPr>
          <w:rFonts w:ascii="Times New Roman" w:hAnsi="Times New Roman" w:cs="Times New Roman"/>
          <w:spacing w:val="-60"/>
          <w:sz w:val="24"/>
          <w:szCs w:val="24"/>
          <w:lang w:val="ru-RU"/>
        </w:rPr>
        <w:t xml:space="preserve"> 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Важной составляющей технологии блокчейн является использование криптографических хеш-функций во многих операциях. </w:t>
      </w:r>
      <w:r w:rsidRPr="00EB25C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Хеширование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EB25CC">
        <w:rPr>
          <w:rFonts w:ascii="Times New Roman" w:hAnsi="Times New Roman" w:cs="Times New Roman"/>
          <w:i/>
          <w:spacing w:val="-1"/>
          <w:sz w:val="24"/>
          <w:szCs w:val="24"/>
        </w:rPr>
        <w:t>hashing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) </w:t>
      </w:r>
      <w:r w:rsidR="00A23D9E">
        <w:rPr>
          <w:rFonts w:ascii="Times New Roman" w:hAnsi="Times New Roman" w:cs="Times New Roman"/>
          <w:spacing w:val="-1"/>
          <w:sz w:val="24"/>
          <w:szCs w:val="24"/>
          <w:lang w:val="ru-RU"/>
        </w:rPr>
        <w:t>–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это метод применения криптографической хеш-функции к данным, которая вычисляет уникальное выходное значение, называемое </w:t>
      </w:r>
      <w:r w:rsidRPr="00EB25C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дайджестом сообщения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или просто </w:t>
      </w:r>
      <w:r w:rsidRPr="00EB25C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дайджестом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для входных данных почти любого размера (например, файлов, текста или изображений). Это даёт отдельным лицам возможность самостоятельно брать входные данные, хешировать эти данные и </w:t>
      </w:r>
      <w:r w:rsidR="00D90899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получать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90899">
        <w:rPr>
          <w:rFonts w:ascii="Times New Roman" w:hAnsi="Times New Roman" w:cs="Times New Roman"/>
          <w:spacing w:val="-1"/>
          <w:sz w:val="24"/>
          <w:szCs w:val="24"/>
          <w:lang w:val="ru-RU"/>
        </w:rPr>
        <w:t>одинаковый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результат</w:t>
      </w:r>
      <w:r w:rsidR="00D9089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при каждом хешировании</w:t>
      </w:r>
      <w:r w:rsidRPr="00E40D34">
        <w:rPr>
          <w:rFonts w:ascii="Times New Roman" w:hAnsi="Times New Roman" w:cs="Times New Roman"/>
          <w:spacing w:val="-1"/>
          <w:sz w:val="24"/>
          <w:szCs w:val="24"/>
          <w:lang w:val="ru-RU"/>
        </w:rPr>
        <w:t>, доказывая тем самым, что никаких изменений в данные внесено не было. Даже самое незначительное изменение на входе (например, изменение одного бита) приведёт к совершенно иному выходному дайджесту. Это наглядно проиллюстрировано в таблице 1.</w:t>
      </w:r>
      <w:hyperlink w:anchor="br19" w:history="1"/>
      <w:hyperlink w:anchor="br19" w:history="1"/>
      <w:hyperlink w:anchor="br19" w:history="1"/>
      <w:hyperlink w:anchor="br19" w:history="1"/>
      <w:hyperlink w:anchor="br19" w:history="1"/>
      <w:hyperlink w:anchor="br19" w:history="1"/>
    </w:p>
    <w:p w:rsidR="001F45C7" w:rsidRPr="00E40D34" w:rsidRDefault="001F45C7" w:rsidP="00E40D34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Криптографические хеш-функции отвечают следующим важным свойствам стойкости:</w:t>
      </w:r>
    </w:p>
    <w:p w:rsidR="001F45C7" w:rsidRPr="00E40D34" w:rsidRDefault="001F45C7" w:rsidP="00A23D9E">
      <w:pPr>
        <w:tabs>
          <w:tab w:val="left" w:pos="851"/>
        </w:tabs>
        <w:spacing w:before="240" w:after="0" w:line="276" w:lineRule="exact"/>
        <w:ind w:left="85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1C2A99" w:rsidRPr="00E40D3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B25CC">
        <w:rPr>
          <w:rFonts w:ascii="Times New Roman" w:hAnsi="Times New Roman" w:cs="Times New Roman"/>
          <w:i/>
          <w:sz w:val="24"/>
          <w:szCs w:val="24"/>
          <w:lang w:val="ru-RU"/>
        </w:rPr>
        <w:t>Устойчивость к поиску прообраза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. Это означает, что хеш-функция </w:t>
      </w:r>
      <w:r w:rsidR="00EB25C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односторонняя: с вычислительной точки зрения невозможно найти правильное входное значение при заданном выходном значении (то есть при заданном дайджесте, найти такое </w:t>
      </w:r>
      <w:r w:rsidRPr="008D52DE">
        <w:rPr>
          <w:rFonts w:ascii="Times New Roman" w:hAnsi="Times New Roman" w:cs="Times New Roman"/>
          <w:i/>
          <w:sz w:val="24"/>
          <w:szCs w:val="24"/>
        </w:rPr>
        <w:t>x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Pr="008D52DE">
        <w:rPr>
          <w:rFonts w:ascii="Times New Roman" w:hAnsi="Times New Roman" w:cs="Times New Roman"/>
          <w:i/>
          <w:sz w:val="24"/>
          <w:szCs w:val="24"/>
        </w:rPr>
        <w:t>hash</w:t>
      </w:r>
      <w:r w:rsidRPr="008D52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8D52DE">
        <w:rPr>
          <w:rFonts w:ascii="Times New Roman" w:hAnsi="Times New Roman" w:cs="Times New Roman"/>
          <w:i/>
          <w:sz w:val="24"/>
          <w:szCs w:val="24"/>
        </w:rPr>
        <w:t>x</w:t>
      </w:r>
      <w:r w:rsidRPr="008D52DE">
        <w:rPr>
          <w:rFonts w:ascii="Times New Roman" w:hAnsi="Times New Roman" w:cs="Times New Roman"/>
          <w:i/>
          <w:sz w:val="24"/>
          <w:szCs w:val="24"/>
          <w:lang w:val="ru-RU"/>
        </w:rPr>
        <w:t>) = дайджест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F45C7" w:rsidRPr="00E40D34" w:rsidRDefault="001F45C7" w:rsidP="00A23D9E">
      <w:pPr>
        <w:tabs>
          <w:tab w:val="left" w:pos="851"/>
        </w:tabs>
        <w:spacing w:before="0" w:after="0" w:line="276" w:lineRule="exact"/>
        <w:ind w:left="85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1C2A99" w:rsidRPr="00E40D3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72C8">
        <w:rPr>
          <w:rFonts w:ascii="Times New Roman" w:hAnsi="Times New Roman" w:cs="Times New Roman"/>
          <w:i/>
          <w:sz w:val="24"/>
          <w:szCs w:val="24"/>
          <w:lang w:val="ru-RU"/>
        </w:rPr>
        <w:t>Устойчивость к поиску второго прообраза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. Это означает, что невозможно найти какой-либо вход, который хешируется в определённый выход. Если говорить более конкретно, то криптографические хеш-функции устроены таким образом, что</w:t>
      </w:r>
      <w:r w:rsidR="00131A4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A4A">
        <w:rPr>
          <w:rFonts w:ascii="Times New Roman" w:hAnsi="Times New Roman" w:cs="Times New Roman"/>
          <w:sz w:val="24"/>
          <w:szCs w:val="24"/>
          <w:lang w:val="ru-RU"/>
        </w:rPr>
        <w:t>имея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A4A">
        <w:rPr>
          <w:rFonts w:ascii="Times New Roman" w:hAnsi="Times New Roman" w:cs="Times New Roman"/>
          <w:sz w:val="24"/>
          <w:szCs w:val="24"/>
          <w:lang w:val="ru-RU"/>
        </w:rPr>
        <w:t xml:space="preserve">некоторый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заданн</w:t>
      </w:r>
      <w:r w:rsidR="00131A4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вход</w:t>
      </w:r>
      <w:r w:rsidR="00131A4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невозможно с вычислительной точки зрения найти второй </w:t>
      </w:r>
      <w:r w:rsidR="003C57B2">
        <w:rPr>
          <w:rFonts w:ascii="Times New Roman" w:hAnsi="Times New Roman" w:cs="Times New Roman"/>
          <w:sz w:val="24"/>
          <w:szCs w:val="24"/>
          <w:lang w:val="ru-RU"/>
        </w:rPr>
        <w:t xml:space="preserve">такой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вход, который даёт </w:t>
      </w:r>
      <w:r w:rsidR="003C57B2">
        <w:rPr>
          <w:rFonts w:ascii="Times New Roman" w:hAnsi="Times New Roman" w:cs="Times New Roman"/>
          <w:sz w:val="24"/>
          <w:szCs w:val="24"/>
          <w:lang w:val="ru-RU"/>
        </w:rPr>
        <w:t>тот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же выход (то есть при заданном </w:t>
      </w:r>
      <w:r w:rsidRPr="00B21574">
        <w:rPr>
          <w:rFonts w:ascii="Times New Roman" w:hAnsi="Times New Roman" w:cs="Times New Roman"/>
          <w:i/>
          <w:sz w:val="24"/>
          <w:szCs w:val="24"/>
        </w:rPr>
        <w:t>x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, невозможно найти такой </w:t>
      </w:r>
      <w:r w:rsidRPr="00B21574">
        <w:rPr>
          <w:rFonts w:ascii="Times New Roman" w:hAnsi="Times New Roman" w:cs="Times New Roman"/>
          <w:i/>
          <w:sz w:val="24"/>
          <w:szCs w:val="24"/>
        </w:rPr>
        <w:t>y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, при котором </w:t>
      </w:r>
      <w:r w:rsidRPr="00B21574">
        <w:rPr>
          <w:rFonts w:ascii="Times New Roman" w:hAnsi="Times New Roman" w:cs="Times New Roman"/>
          <w:i/>
          <w:sz w:val="24"/>
          <w:szCs w:val="24"/>
        </w:rPr>
        <w:t>hash</w:t>
      </w:r>
      <w:r w:rsidRPr="00B215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B21574">
        <w:rPr>
          <w:rFonts w:ascii="Times New Roman" w:hAnsi="Times New Roman" w:cs="Times New Roman"/>
          <w:i/>
          <w:sz w:val="24"/>
          <w:szCs w:val="24"/>
        </w:rPr>
        <w:t>x</w:t>
      </w:r>
      <w:r w:rsidRPr="00B215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= </w:t>
      </w:r>
      <w:r w:rsidRPr="00B21574">
        <w:rPr>
          <w:rFonts w:ascii="Times New Roman" w:hAnsi="Times New Roman" w:cs="Times New Roman"/>
          <w:i/>
          <w:sz w:val="24"/>
          <w:szCs w:val="24"/>
        </w:rPr>
        <w:t>hash</w:t>
      </w:r>
      <w:r w:rsidRPr="00B215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B21574">
        <w:rPr>
          <w:rFonts w:ascii="Times New Roman" w:hAnsi="Times New Roman" w:cs="Times New Roman"/>
          <w:i/>
          <w:sz w:val="24"/>
          <w:szCs w:val="24"/>
        </w:rPr>
        <w:t>y</w:t>
      </w:r>
      <w:r w:rsidRPr="00B21574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). Единственно возможный подход </w:t>
      </w:r>
      <w:r w:rsidR="00CF68C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это исчерпывающий поиск ключей, но с вычислительной точки зрения это невозможно сделать с какими-либо шансами на успех.</w:t>
      </w:r>
    </w:p>
    <w:p w:rsidR="001F45C7" w:rsidRPr="00E40D34" w:rsidRDefault="001F45C7" w:rsidP="00A23D9E">
      <w:pPr>
        <w:tabs>
          <w:tab w:val="left" w:pos="851"/>
        </w:tabs>
        <w:spacing w:before="0" w:after="0" w:line="276" w:lineRule="exact"/>
        <w:ind w:left="851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C2A99" w:rsidRPr="00E40D3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72C8">
        <w:rPr>
          <w:rFonts w:ascii="Times New Roman" w:hAnsi="Times New Roman" w:cs="Times New Roman"/>
          <w:i/>
          <w:sz w:val="24"/>
          <w:szCs w:val="24"/>
          <w:lang w:val="ru-RU"/>
        </w:rPr>
        <w:t>Устойчивость к коллизии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. Это означает, что невозможно найти два входа, которые хешируются в один и тот же выход. Если более конкретно, то с вычислительной точки зрения невозможно найти два </w:t>
      </w:r>
      <w:r w:rsidR="007E15BF">
        <w:rPr>
          <w:rFonts w:ascii="Times New Roman" w:hAnsi="Times New Roman" w:cs="Times New Roman"/>
          <w:sz w:val="24"/>
          <w:szCs w:val="24"/>
          <w:lang w:val="ru-RU"/>
        </w:rPr>
        <w:t xml:space="preserve">таких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входа, которые дают один и тот же дайджест (то есть найти </w:t>
      </w:r>
      <w:r w:rsidRPr="007E15BF">
        <w:rPr>
          <w:rFonts w:ascii="Times New Roman" w:hAnsi="Times New Roman" w:cs="Times New Roman"/>
          <w:i/>
          <w:sz w:val="24"/>
          <w:szCs w:val="24"/>
        </w:rPr>
        <w:t>x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7E15BF">
        <w:rPr>
          <w:rFonts w:ascii="Times New Roman" w:hAnsi="Times New Roman" w:cs="Times New Roman"/>
          <w:i/>
          <w:sz w:val="24"/>
          <w:szCs w:val="24"/>
        </w:rPr>
        <w:t>y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, при которых </w:t>
      </w:r>
      <w:r w:rsidRPr="007E15BF">
        <w:rPr>
          <w:rFonts w:ascii="Times New Roman" w:hAnsi="Times New Roman" w:cs="Times New Roman"/>
          <w:i/>
          <w:sz w:val="24"/>
          <w:szCs w:val="24"/>
        </w:rPr>
        <w:t>hash</w:t>
      </w:r>
      <w:r w:rsidRPr="007E15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7E15BF">
        <w:rPr>
          <w:rFonts w:ascii="Times New Roman" w:hAnsi="Times New Roman" w:cs="Times New Roman"/>
          <w:i/>
          <w:sz w:val="24"/>
          <w:szCs w:val="24"/>
        </w:rPr>
        <w:t>x</w:t>
      </w:r>
      <w:r w:rsidRPr="007E15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= </w:t>
      </w:r>
      <w:r w:rsidRPr="007E15BF">
        <w:rPr>
          <w:rFonts w:ascii="Times New Roman" w:hAnsi="Times New Roman" w:cs="Times New Roman"/>
          <w:i/>
          <w:sz w:val="24"/>
          <w:szCs w:val="24"/>
        </w:rPr>
        <w:t>hash</w:t>
      </w:r>
      <w:r w:rsidRPr="007E15B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7E15BF">
        <w:rPr>
          <w:rFonts w:ascii="Times New Roman" w:hAnsi="Times New Roman" w:cs="Times New Roman"/>
          <w:i/>
          <w:sz w:val="24"/>
          <w:szCs w:val="24"/>
        </w:rPr>
        <w:t>y</w:t>
      </w:r>
      <w:r w:rsidRPr="007E15B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F45C7" w:rsidRPr="00E40D34" w:rsidRDefault="001F45C7" w:rsidP="00E40D34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pacing w:val="-60"/>
          <w:sz w:val="24"/>
          <w:szCs w:val="24"/>
          <w:lang w:val="ru-RU"/>
        </w:rPr>
        <w:t xml:space="preserve">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Специальной криптографической хеш-функцией, используемой во многих реализациях блокчейна, является алгоритм безопасного хеширования (</w:t>
      </w:r>
      <w:r w:rsidRPr="00E40D34">
        <w:rPr>
          <w:rFonts w:ascii="Times New Roman" w:hAnsi="Times New Roman" w:cs="Times New Roman"/>
          <w:sz w:val="24"/>
          <w:szCs w:val="24"/>
        </w:rPr>
        <w:t>SHA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) с размером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выхода в 256 бит (</w:t>
      </w:r>
      <w:r w:rsidRPr="00E40D34">
        <w:rPr>
          <w:rFonts w:ascii="Times New Roman" w:hAnsi="Times New Roman" w:cs="Times New Roman"/>
          <w:sz w:val="24"/>
          <w:szCs w:val="24"/>
        </w:rPr>
        <w:t>SHA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-256). Многие компьютеры поддерживают этот алгоритм аппаратно, повышая скорость вычисления. </w:t>
      </w:r>
      <w:r w:rsidRPr="00E40D34">
        <w:rPr>
          <w:rFonts w:ascii="Times New Roman" w:hAnsi="Times New Roman" w:cs="Times New Roman"/>
          <w:sz w:val="24"/>
          <w:szCs w:val="24"/>
        </w:rPr>
        <w:t>SHA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-256 имеет выход размером в 32 байта (</w:t>
      </w:r>
      <w:proofErr w:type="gramStart"/>
      <w:r w:rsidRPr="00E40D34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байт = 8 бит, 32 байта = 256 бит), обычно отображаемый как 64-символьная шестнадцатеричная строка (</w:t>
      </w:r>
      <w:r w:rsidR="00F93E01">
        <w:rPr>
          <w:rFonts w:ascii="Times New Roman" w:hAnsi="Times New Roman" w:cs="Times New Roman"/>
          <w:sz w:val="24"/>
          <w:szCs w:val="24"/>
          <w:lang w:val="ru-RU"/>
        </w:rPr>
        <w:t xml:space="preserve">см.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таблиц</w:t>
      </w:r>
      <w:r w:rsidR="00F93E0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1).</w:t>
      </w:r>
      <w:hyperlink w:anchor="br19" w:history="1"/>
      <w:hyperlink w:anchor="br19" w:history="1"/>
      <w:hyperlink w:anchor="br19" w:history="1"/>
    </w:p>
    <w:p w:rsidR="007F61A2" w:rsidRDefault="001F45C7" w:rsidP="007F61A2">
      <w:pPr>
        <w:spacing w:before="204" w:after="0" w:line="294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Это означает, что существует 2</w:t>
      </w:r>
      <w:r w:rsidRPr="00A65C42">
        <w:rPr>
          <w:rFonts w:ascii="Times New Roman" w:hAnsi="Times New Roman" w:cs="Times New Roman"/>
          <w:position w:val="2"/>
          <w:sz w:val="20"/>
          <w:szCs w:val="24"/>
          <w:vertAlign w:val="superscript"/>
          <w:lang w:val="ru-RU"/>
        </w:rPr>
        <w:t>256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≈ 10</w:t>
      </w:r>
      <w:r w:rsidRPr="00A65C42">
        <w:rPr>
          <w:rFonts w:ascii="Times New Roman" w:hAnsi="Times New Roman" w:cs="Times New Roman"/>
          <w:position w:val="2"/>
          <w:sz w:val="20"/>
          <w:szCs w:val="24"/>
          <w:vertAlign w:val="superscript"/>
          <w:lang w:val="ru-RU"/>
        </w:rPr>
        <w:t>77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, или</w:t>
      </w:r>
      <w:r w:rsidR="00A65C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115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792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089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237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316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195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423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570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985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008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687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907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853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269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984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665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640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564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039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457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584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007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913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129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639</w:t>
      </w:r>
      <w:r w:rsidR="00A65C42" w:rsidRPr="00A65C42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Pr="00A65C42">
        <w:rPr>
          <w:rFonts w:ascii="Times New Roman" w:hAnsi="Times New Roman" w:cs="Times New Roman"/>
          <w:sz w:val="20"/>
          <w:szCs w:val="20"/>
          <w:lang w:val="ru-RU"/>
        </w:rPr>
        <w:t>936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возможных значений дайджеста. Алгоритм </w:t>
      </w:r>
      <w:r w:rsidRPr="00E40D34">
        <w:rPr>
          <w:rFonts w:ascii="Times New Roman" w:hAnsi="Times New Roman" w:cs="Times New Roman"/>
          <w:sz w:val="24"/>
          <w:szCs w:val="24"/>
        </w:rPr>
        <w:t>SHA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-256, как и другие алгоритмы, опубликован в Федеральном стандарте обработки информации </w:t>
      </w:r>
      <w:r w:rsidRPr="00E40D34">
        <w:rPr>
          <w:rFonts w:ascii="Times New Roman" w:hAnsi="Times New Roman" w:cs="Times New Roman"/>
          <w:sz w:val="24"/>
          <w:szCs w:val="24"/>
        </w:rPr>
        <w:t>FIPS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180-4. Сайт Стандарта безопасного хеширования Национального Института Стандартов и Технологий США (</w:t>
      </w:r>
      <w:r w:rsidRPr="00E40D34">
        <w:rPr>
          <w:rFonts w:ascii="Times New Roman" w:hAnsi="Times New Roman" w:cs="Times New Roman"/>
          <w:sz w:val="24"/>
          <w:szCs w:val="24"/>
        </w:rPr>
        <w:t>NIST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) содержит спецификации </w:t>
      </w:r>
      <w:r w:rsidRPr="00E40D34">
        <w:rPr>
          <w:rFonts w:ascii="Times New Roman" w:hAnsi="Times New Roman" w:cs="Times New Roman"/>
          <w:sz w:val="24"/>
          <w:szCs w:val="24"/>
        </w:rPr>
        <w:t>FIPS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для всех алгоритмов хеширования, утверждённых </w:t>
      </w:r>
      <w:r w:rsidRPr="00E40D34">
        <w:rPr>
          <w:rFonts w:ascii="Times New Roman" w:hAnsi="Times New Roman" w:cs="Times New Roman"/>
          <w:sz w:val="24"/>
          <w:szCs w:val="24"/>
        </w:rPr>
        <w:t>NIST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45C7" w:rsidRPr="00E40D34" w:rsidRDefault="001F45C7" w:rsidP="007F61A2">
      <w:pPr>
        <w:spacing w:before="204" w:after="0" w:line="294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pacing w:val="-60"/>
          <w:sz w:val="24"/>
          <w:szCs w:val="24"/>
          <w:lang w:val="ru-RU"/>
        </w:rPr>
        <w:t xml:space="preserve">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существует бесконечное множество возможных входных значений и конечное множество возможных значений выходного дайджеста, коллизия, при которой </w:t>
      </w:r>
      <w:r w:rsidRPr="00C5155D">
        <w:rPr>
          <w:rFonts w:ascii="Times New Roman" w:hAnsi="Times New Roman" w:cs="Times New Roman"/>
          <w:i/>
          <w:sz w:val="24"/>
          <w:szCs w:val="24"/>
        </w:rPr>
        <w:t>hash</w:t>
      </w:r>
      <w:r w:rsidRPr="00C51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C5155D">
        <w:rPr>
          <w:rFonts w:ascii="Times New Roman" w:hAnsi="Times New Roman" w:cs="Times New Roman"/>
          <w:i/>
          <w:sz w:val="24"/>
          <w:szCs w:val="24"/>
        </w:rPr>
        <w:t>x</w:t>
      </w:r>
      <w:r w:rsidRPr="00C51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) = </w:t>
      </w:r>
      <w:r w:rsidRPr="00C5155D">
        <w:rPr>
          <w:rFonts w:ascii="Times New Roman" w:hAnsi="Times New Roman" w:cs="Times New Roman"/>
          <w:i/>
          <w:sz w:val="24"/>
          <w:szCs w:val="24"/>
        </w:rPr>
        <w:t>hash</w:t>
      </w:r>
      <w:r w:rsidRPr="00C51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Pr="00C5155D">
        <w:rPr>
          <w:rFonts w:ascii="Times New Roman" w:hAnsi="Times New Roman" w:cs="Times New Roman"/>
          <w:i/>
          <w:sz w:val="24"/>
          <w:szCs w:val="24"/>
        </w:rPr>
        <w:t>y</w:t>
      </w:r>
      <w:r w:rsidRPr="00C5155D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(то есть хеш двух разных входов даёт один и тот же дайджест), возможна, но крайне маловероятна. Считается, что </w:t>
      </w:r>
      <w:r w:rsidRPr="00E40D34">
        <w:rPr>
          <w:rFonts w:ascii="Times New Roman" w:hAnsi="Times New Roman" w:cs="Times New Roman"/>
          <w:sz w:val="24"/>
          <w:szCs w:val="24"/>
        </w:rPr>
        <w:t>SHA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-256 устойчив к коллизиям, поскольку для того, чтобы найти коллизию в </w:t>
      </w:r>
      <w:r w:rsidRPr="00E40D34">
        <w:rPr>
          <w:rFonts w:ascii="Times New Roman" w:hAnsi="Times New Roman" w:cs="Times New Roman"/>
          <w:sz w:val="24"/>
          <w:szCs w:val="24"/>
        </w:rPr>
        <w:t>SHA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-256, нужно выполнить алгоритм в среднем около 2</w:t>
      </w:r>
      <w:r w:rsidRPr="00FE5402">
        <w:rPr>
          <w:rFonts w:ascii="Times New Roman" w:hAnsi="Times New Roman" w:cs="Times New Roman"/>
          <w:position w:val="2"/>
          <w:sz w:val="20"/>
          <w:szCs w:val="24"/>
          <w:vertAlign w:val="superscript"/>
          <w:lang w:val="ru-RU"/>
        </w:rPr>
        <w:t>128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раз (что составляет 340 ундециллионов, или, </w:t>
      </w:r>
      <w:proofErr w:type="gramStart"/>
      <w:r w:rsidRPr="00E40D34">
        <w:rPr>
          <w:rFonts w:ascii="Times New Roman" w:hAnsi="Times New Roman" w:cs="Times New Roman"/>
          <w:sz w:val="24"/>
          <w:szCs w:val="24"/>
          <w:lang w:val="ru-RU"/>
        </w:rPr>
        <w:t>точнее,</w:t>
      </w:r>
      <w:r w:rsidR="00FE5402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="00FE540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E540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E540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E540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E540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340 282 366 920 938 463 463 374 607 431 768 211 456 раз, примерно 3,402 </w:t>
      </w:r>
      <w:r w:rsidRPr="00E40D34">
        <w:rPr>
          <w:rFonts w:ascii="Times New Roman" w:hAnsi="Times New Roman" w:cs="Times New Roman"/>
          <w:sz w:val="24"/>
          <w:szCs w:val="24"/>
        </w:rPr>
        <w:t>x</w:t>
      </w:r>
      <w:r w:rsidR="007C5CF3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7C5CF3" w:rsidRPr="00FE5402">
        <w:rPr>
          <w:rFonts w:ascii="Times New Roman" w:hAnsi="Times New Roman" w:cs="Times New Roman"/>
          <w:position w:val="2"/>
          <w:sz w:val="20"/>
          <w:szCs w:val="24"/>
          <w:vertAlign w:val="superscript"/>
          <w:lang w:val="ru-RU"/>
        </w:rPr>
        <w:t>38</w:t>
      </w:r>
      <w:r w:rsidR="007C5CF3">
        <w:rPr>
          <w:rFonts w:ascii="Times New Roman" w:hAnsi="Times New Roman" w:cs="Times New Roman"/>
          <w:sz w:val="24"/>
          <w:szCs w:val="24"/>
          <w:lang w:val="ru-RU"/>
        </w:rPr>
        <w:t xml:space="preserve"> раз)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1754" w:rsidRPr="00E40D34" w:rsidRDefault="001F45C7" w:rsidP="00D841EC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Для сравнения: скорость хеширования всей сети Биткойн в 2015 году составляла 300 квадриллионов хешей в секунду (300 000 000 000 000 000 000/с). При такой скорости для всей сети Биткойн потребуется примерно 35 942 991 748 521 (примерно 3,6 </w:t>
      </w:r>
      <w:r w:rsidRPr="00E40D34">
        <w:rPr>
          <w:rFonts w:ascii="Times New Roman" w:hAnsi="Times New Roman" w:cs="Times New Roman"/>
          <w:sz w:val="24"/>
          <w:szCs w:val="24"/>
        </w:rPr>
        <w:t>x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C90A14">
        <w:rPr>
          <w:rFonts w:ascii="Times New Roman" w:hAnsi="Times New Roman" w:cs="Times New Roman"/>
          <w:position w:val="2"/>
          <w:sz w:val="20"/>
          <w:szCs w:val="24"/>
          <w:vertAlign w:val="superscript"/>
          <w:lang w:val="ru-RU"/>
        </w:rPr>
        <w:t>13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) год</w:t>
      </w:r>
      <w:r w:rsidRPr="002F37F8">
        <w:rPr>
          <w:rFonts w:ascii="Times New Roman" w:hAnsi="Times New Roman" w:cs="Times New Roman"/>
          <w:position w:val="2"/>
          <w:sz w:val="20"/>
          <w:szCs w:val="20"/>
          <w:vertAlign w:val="superscript"/>
          <w:lang w:val="ru-RU"/>
        </w:rPr>
        <w:t>2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для порождения коллизии (заметим, что возраст Вселенной оценивается в 1,37 </w:t>
      </w:r>
      <w:r w:rsidRPr="00E40D34">
        <w:rPr>
          <w:rFonts w:ascii="Times New Roman" w:hAnsi="Times New Roman" w:cs="Times New Roman"/>
          <w:sz w:val="24"/>
          <w:szCs w:val="24"/>
        </w:rPr>
        <w:t>x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C90A14">
        <w:rPr>
          <w:rFonts w:ascii="Times New Roman" w:hAnsi="Times New Roman" w:cs="Times New Roman"/>
          <w:position w:val="2"/>
          <w:sz w:val="20"/>
          <w:szCs w:val="24"/>
          <w:vertAlign w:val="superscript"/>
          <w:lang w:val="ru-RU"/>
        </w:rPr>
        <w:t>10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лет)</w:t>
      </w:r>
      <w:r w:rsidRPr="002F37F8">
        <w:rPr>
          <w:rFonts w:ascii="Times New Roman" w:hAnsi="Times New Roman" w:cs="Times New Roman"/>
          <w:position w:val="2"/>
          <w:sz w:val="20"/>
          <w:szCs w:val="24"/>
          <w:vertAlign w:val="superscript"/>
          <w:lang w:val="ru-RU"/>
        </w:rPr>
        <w:t>3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F1754" w:rsidRPr="00E40D34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3F1754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3F1754"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если найдутся такие входные значения </w:t>
      </w:r>
      <w:r w:rsidR="003F1754" w:rsidRPr="00A90F4E">
        <w:rPr>
          <w:rFonts w:ascii="Times New Roman" w:hAnsi="Times New Roman" w:cs="Times New Roman"/>
          <w:i/>
          <w:sz w:val="24"/>
          <w:szCs w:val="24"/>
        </w:rPr>
        <w:t>x</w:t>
      </w:r>
      <w:r w:rsidR="003F1754"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F1754" w:rsidRPr="00A90F4E">
        <w:rPr>
          <w:rFonts w:ascii="Times New Roman" w:hAnsi="Times New Roman" w:cs="Times New Roman"/>
          <w:i/>
          <w:sz w:val="24"/>
          <w:szCs w:val="24"/>
        </w:rPr>
        <w:t>y</w:t>
      </w:r>
      <w:r w:rsidR="003F1754"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производят один и тот же дайджест, будет также очень маловероятно, что оба этих входа будут допустимы в контексте сети блокчейн (то есть и </w:t>
      </w:r>
      <w:proofErr w:type="gramStart"/>
      <w:r w:rsidR="003F1754" w:rsidRPr="00A90F4E"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  <w:r w:rsidR="003F1754"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F1754" w:rsidRPr="00A90F4E">
        <w:rPr>
          <w:rFonts w:ascii="Times New Roman" w:hAnsi="Times New Roman" w:cs="Times New Roman"/>
          <w:i/>
          <w:sz w:val="24"/>
          <w:szCs w:val="24"/>
        </w:rPr>
        <w:t>y</w:t>
      </w:r>
      <w:r w:rsidR="003F1754"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будут валидными транзакциями).</w:t>
      </w:r>
      <w:hyperlink w:anchor="br66" w:history="1"/>
      <w:hyperlink w:anchor="br66" w:history="1"/>
      <w:hyperlink w:anchor="br66" w:history="1"/>
      <w:hyperlink w:anchor="br66" w:history="1"/>
      <w:hyperlink w:anchor="br19" w:history="1"/>
      <w:hyperlink w:anchor="br19" w:history="1"/>
      <w:hyperlink w:anchor="br19" w:history="1"/>
      <w:hyperlink w:anchor="br19" w:history="1"/>
      <w:hyperlink w:anchor="br19" w:history="1"/>
    </w:p>
    <w:p w:rsidR="00205BE8" w:rsidRPr="00E40D34" w:rsidRDefault="000522B0" w:rsidP="00E40D34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В сети блокчейн криптографические хеш-функции используются для решения </w:t>
      </w:r>
      <w:r w:rsidR="008A245B">
        <w:rPr>
          <w:rFonts w:ascii="Times New Roman" w:hAnsi="Times New Roman" w:cs="Times New Roman"/>
          <w:sz w:val="24"/>
          <w:szCs w:val="24"/>
          <w:lang w:val="ru-RU"/>
        </w:rPr>
        <w:t>множества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задач, таких как:</w:t>
      </w:r>
    </w:p>
    <w:p w:rsidR="007C5CF3" w:rsidRPr="007C5CF3" w:rsidRDefault="001F45C7" w:rsidP="007C5CF3">
      <w:pPr>
        <w:pStyle w:val="aa"/>
        <w:numPr>
          <w:ilvl w:val="0"/>
          <w:numId w:val="1"/>
        </w:numPr>
        <w:spacing w:before="240" w:after="0" w:line="294" w:lineRule="exact"/>
        <w:ind w:left="851" w:right="-2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7C5CF3">
        <w:rPr>
          <w:rFonts w:ascii="Times New Roman" w:hAnsi="Times New Roman" w:cs="Times New Roman"/>
          <w:sz w:val="24"/>
          <w:szCs w:val="24"/>
          <w:lang w:val="ru-RU"/>
        </w:rPr>
        <w:t>Получение адрес</w:t>
      </w:r>
      <w:r w:rsidR="00D853E5">
        <w:rPr>
          <w:rFonts w:ascii="Times New Roman" w:hAnsi="Times New Roman" w:cs="Times New Roman"/>
          <w:sz w:val="24"/>
          <w:szCs w:val="24"/>
          <w:lang w:val="ru-RU"/>
        </w:rPr>
        <w:t>а (рассматривается в главе 3.4);</w:t>
      </w:r>
    </w:p>
    <w:p w:rsidR="007C5CF3" w:rsidRPr="007C5CF3" w:rsidRDefault="001F45C7" w:rsidP="007C5CF3">
      <w:pPr>
        <w:pStyle w:val="aa"/>
        <w:numPr>
          <w:ilvl w:val="0"/>
          <w:numId w:val="1"/>
        </w:numPr>
        <w:spacing w:before="240" w:after="0" w:line="294" w:lineRule="exact"/>
        <w:ind w:left="851" w:right="-2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7C5CF3">
        <w:rPr>
          <w:rFonts w:ascii="Times New Roman" w:hAnsi="Times New Roman" w:cs="Times New Roman"/>
          <w:sz w:val="24"/>
          <w:szCs w:val="24"/>
          <w:lang w:val="ru-RU"/>
        </w:rPr>
        <w:t>Созд</w:t>
      </w:r>
      <w:r w:rsidR="00D853E5">
        <w:rPr>
          <w:rFonts w:ascii="Times New Roman" w:hAnsi="Times New Roman" w:cs="Times New Roman"/>
          <w:sz w:val="24"/>
          <w:szCs w:val="24"/>
          <w:lang w:val="ru-RU"/>
        </w:rPr>
        <w:t>ание уникальных идентификаторов;</w:t>
      </w:r>
      <w:hyperlink w:anchor="br23" w:history="1"/>
    </w:p>
    <w:p w:rsidR="007C5CF3" w:rsidRPr="007C5CF3" w:rsidRDefault="001F45C7" w:rsidP="007C5CF3">
      <w:pPr>
        <w:pStyle w:val="aa"/>
        <w:numPr>
          <w:ilvl w:val="0"/>
          <w:numId w:val="1"/>
        </w:numPr>
        <w:spacing w:before="240" w:after="0" w:line="294" w:lineRule="exact"/>
        <w:ind w:left="851" w:right="-2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7C5CF3">
        <w:rPr>
          <w:rFonts w:ascii="Times New Roman" w:hAnsi="Times New Roman" w:cs="Times New Roman"/>
          <w:sz w:val="24"/>
          <w:szCs w:val="24"/>
          <w:lang w:val="ru-RU"/>
        </w:rPr>
        <w:t xml:space="preserve">Защита данных блока </w:t>
      </w:r>
      <w:r w:rsidR="00D853E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5CF3">
        <w:rPr>
          <w:rFonts w:ascii="Times New Roman" w:hAnsi="Times New Roman" w:cs="Times New Roman"/>
          <w:sz w:val="24"/>
          <w:szCs w:val="24"/>
          <w:lang w:val="ru-RU"/>
        </w:rPr>
        <w:t xml:space="preserve"> публикующий узел хеширует данные блока, создавая дайджест, который бу</w:t>
      </w:r>
      <w:r w:rsidR="00D853E5">
        <w:rPr>
          <w:rFonts w:ascii="Times New Roman" w:hAnsi="Times New Roman" w:cs="Times New Roman"/>
          <w:sz w:val="24"/>
          <w:szCs w:val="24"/>
          <w:lang w:val="ru-RU"/>
        </w:rPr>
        <w:t>дет храниться в заголовке блока;</w:t>
      </w:r>
    </w:p>
    <w:p w:rsidR="001F45C7" w:rsidRPr="007C5CF3" w:rsidRDefault="001F45C7" w:rsidP="007C5CF3">
      <w:pPr>
        <w:pStyle w:val="aa"/>
        <w:numPr>
          <w:ilvl w:val="0"/>
          <w:numId w:val="1"/>
        </w:numPr>
        <w:spacing w:before="240" w:after="0" w:line="294" w:lineRule="exact"/>
        <w:ind w:left="851" w:right="-2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7C5CF3">
        <w:rPr>
          <w:rFonts w:ascii="Times New Roman" w:hAnsi="Times New Roman" w:cs="Times New Roman"/>
          <w:sz w:val="24"/>
          <w:szCs w:val="24"/>
          <w:lang w:val="ru-RU"/>
        </w:rPr>
        <w:t xml:space="preserve">Защита заголовка блока </w:t>
      </w:r>
      <w:r w:rsidR="00D853E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5CF3">
        <w:rPr>
          <w:rFonts w:ascii="Times New Roman" w:hAnsi="Times New Roman" w:cs="Times New Roman"/>
          <w:sz w:val="24"/>
          <w:szCs w:val="24"/>
          <w:lang w:val="ru-RU"/>
        </w:rPr>
        <w:t xml:space="preserve"> публикующий узел хеширует заголовок блока. Если в сети блокчейн используется консенсусная модель "доказательства работы" (</w:t>
      </w:r>
      <w:r w:rsidR="00E04B73">
        <w:rPr>
          <w:rFonts w:ascii="Times New Roman" w:hAnsi="Times New Roman" w:cs="Times New Roman"/>
          <w:sz w:val="24"/>
          <w:szCs w:val="24"/>
          <w:lang w:val="ru-RU"/>
        </w:rPr>
        <w:t xml:space="preserve">см. </w:t>
      </w:r>
      <w:r w:rsidRPr="007C5CF3">
        <w:rPr>
          <w:rFonts w:ascii="Times New Roman" w:hAnsi="Times New Roman" w:cs="Times New Roman"/>
          <w:sz w:val="24"/>
          <w:szCs w:val="24"/>
          <w:lang w:val="ru-RU"/>
        </w:rPr>
        <w:t>глав</w:t>
      </w:r>
      <w:r w:rsidR="00E04B7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C5CF3">
        <w:rPr>
          <w:rFonts w:ascii="Times New Roman" w:hAnsi="Times New Roman" w:cs="Times New Roman"/>
          <w:sz w:val="24"/>
          <w:szCs w:val="24"/>
          <w:lang w:val="ru-RU"/>
        </w:rPr>
        <w:t xml:space="preserve"> 4.1), публикующему узлу потребуется хешировать заголовок блока с разными значениями </w:t>
      </w:r>
      <w:r w:rsidRPr="00E04B73">
        <w:rPr>
          <w:rFonts w:ascii="Times New Roman" w:hAnsi="Times New Roman" w:cs="Times New Roman"/>
          <w:i/>
          <w:sz w:val="24"/>
          <w:szCs w:val="24"/>
        </w:rPr>
        <w:t>nonce</w:t>
      </w:r>
      <w:r w:rsidRPr="007C5CF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04B73">
        <w:rPr>
          <w:rFonts w:ascii="Times New Roman" w:hAnsi="Times New Roman" w:cs="Times New Roman"/>
          <w:sz w:val="24"/>
          <w:szCs w:val="24"/>
          <w:lang w:val="ru-RU"/>
        </w:rPr>
        <w:t xml:space="preserve">см. </w:t>
      </w:r>
      <w:r w:rsidRPr="007C5CF3">
        <w:rPr>
          <w:rFonts w:ascii="Times New Roman" w:hAnsi="Times New Roman" w:cs="Times New Roman"/>
          <w:sz w:val="24"/>
          <w:szCs w:val="24"/>
          <w:lang w:val="ru-RU"/>
        </w:rPr>
        <w:t>пункт 3.1.1), пока не будут выполнены условия головоломки. Хеш-дайджест заголовка текущего блока будет включён в заголовок следующего блока, где он обеспечит безопасность данных заголовка текущего блока.</w:t>
      </w:r>
      <w:hyperlink w:anchor="br30" w:history="1"/>
      <w:hyperlink w:anchor="br20" w:history="1"/>
      <w:hyperlink w:anchor="br20" w:history="1"/>
      <w:hyperlink w:anchor="br20" w:history="1"/>
      <w:hyperlink w:anchor="br20" w:history="1"/>
    </w:p>
    <w:p w:rsidR="001F45C7" w:rsidRPr="00E40D34" w:rsidRDefault="001F45C7" w:rsidP="00E40D34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Поскольку заголовок блока включает хеш-представление данных блока, сами данные блока т</w:t>
      </w:r>
      <w:r w:rsidR="0064507F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же защищены, так как дайджест заголовка блока сохраняется в следующем блоке.</w:t>
      </w:r>
      <w:bookmarkStart w:id="0" w:name="br20"/>
      <w:bookmarkEnd w:id="0"/>
      <w:r w:rsidR="002F59A3" w:rsidRPr="002F59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" w:name="_GoBack"/>
      <w:bookmarkEnd w:id="1"/>
      <w:r w:rsidRPr="00E40D34">
        <w:rPr>
          <w:rFonts w:ascii="Times New Roman" w:hAnsi="Times New Roman" w:cs="Times New Roman"/>
          <w:sz w:val="24"/>
          <w:szCs w:val="24"/>
          <w:lang w:val="ru-RU"/>
        </w:rPr>
        <w:lastRenderedPageBreak/>
        <w:t>Существует множество семейств криптографических хеш-функций, используемых в технологии блокчейн (</w:t>
      </w:r>
      <w:r w:rsidRPr="00E40D34">
        <w:rPr>
          <w:rFonts w:ascii="Times New Roman" w:hAnsi="Times New Roman" w:cs="Times New Roman"/>
          <w:sz w:val="24"/>
          <w:szCs w:val="24"/>
        </w:rPr>
        <w:t>SHA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-256 </w:t>
      </w:r>
      <w:r w:rsidR="009548B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9B3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единственная), например</w:t>
      </w:r>
      <w:r w:rsidR="00E0607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алгоритм хеширования </w:t>
      </w:r>
      <w:proofErr w:type="spellStart"/>
      <w:r w:rsidRPr="00E40D34">
        <w:rPr>
          <w:rFonts w:ascii="Times New Roman" w:hAnsi="Times New Roman" w:cs="Times New Roman"/>
          <w:sz w:val="24"/>
          <w:szCs w:val="24"/>
        </w:rPr>
        <w:t>Keccak</w:t>
      </w:r>
      <w:proofErr w:type="spellEnd"/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(выбранный </w:t>
      </w:r>
      <w:r w:rsidRPr="00E40D34">
        <w:rPr>
          <w:rFonts w:ascii="Times New Roman" w:hAnsi="Times New Roman" w:cs="Times New Roman"/>
          <w:sz w:val="24"/>
          <w:szCs w:val="24"/>
        </w:rPr>
        <w:t>NIST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победителя конкурса на создание стандарта хеширования </w:t>
      </w:r>
      <w:r w:rsidRPr="00E40D34">
        <w:rPr>
          <w:rFonts w:ascii="Times New Roman" w:hAnsi="Times New Roman" w:cs="Times New Roman"/>
          <w:sz w:val="24"/>
          <w:szCs w:val="24"/>
        </w:rPr>
        <w:t>SHA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-3) </w:t>
      </w:r>
      <w:r w:rsidR="009944EE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 </w:t>
      </w:r>
      <w:r w:rsidR="009944EE" w:rsidRPr="00E40D34">
        <w:rPr>
          <w:rFonts w:ascii="Times New Roman" w:hAnsi="Times New Roman" w:cs="Times New Roman"/>
          <w:sz w:val="24"/>
          <w:szCs w:val="24"/>
          <w:lang w:val="ru-RU"/>
        </w:rPr>
        <w:t>также широко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, как и </w:t>
      </w:r>
      <w:r w:rsidRPr="00E40D34">
        <w:rPr>
          <w:rFonts w:ascii="Times New Roman" w:hAnsi="Times New Roman" w:cs="Times New Roman"/>
          <w:sz w:val="24"/>
          <w:szCs w:val="24"/>
        </w:rPr>
        <w:t>RIPEMD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-160.</w:t>
      </w:r>
      <w:hyperlink w:anchor="br66" w:history="1"/>
    </w:p>
    <w:p w:rsidR="001F45C7" w:rsidRPr="00651A2E" w:rsidRDefault="001F45C7" w:rsidP="00E40D34">
      <w:pPr>
        <w:spacing w:before="237" w:after="0" w:line="255" w:lineRule="exact"/>
        <w:ind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51A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3.1.1 Криптографическое число </w:t>
      </w:r>
      <w:r w:rsidRPr="00651A2E">
        <w:rPr>
          <w:rFonts w:ascii="Times New Roman" w:hAnsi="Times New Roman" w:cs="Times New Roman"/>
          <w:b/>
          <w:i/>
          <w:sz w:val="26"/>
          <w:szCs w:val="26"/>
        </w:rPr>
        <w:t>nonce</w:t>
      </w:r>
    </w:p>
    <w:p w:rsidR="001F45C7" w:rsidRPr="00E40D34" w:rsidRDefault="001F45C7" w:rsidP="00E40D34">
      <w:pPr>
        <w:spacing w:before="241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Криптографическое число </w:t>
      </w:r>
      <w:r w:rsidRPr="00651A2E">
        <w:rPr>
          <w:rFonts w:ascii="Times New Roman" w:hAnsi="Times New Roman" w:cs="Times New Roman"/>
          <w:i/>
          <w:sz w:val="24"/>
          <w:szCs w:val="24"/>
        </w:rPr>
        <w:t>nonce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1A2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это произвольное число, использующееся только один раз. Криптографическое число </w:t>
      </w:r>
      <w:r w:rsidRPr="00651A2E">
        <w:rPr>
          <w:rFonts w:ascii="Times New Roman" w:hAnsi="Times New Roman" w:cs="Times New Roman"/>
          <w:i/>
          <w:sz w:val="24"/>
          <w:szCs w:val="24"/>
        </w:rPr>
        <w:t>nonce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можно комбинировать с данными для создания различных хеш-дайджестов для каждого значения </w:t>
      </w:r>
      <w:r w:rsidRPr="00651A2E">
        <w:rPr>
          <w:rFonts w:ascii="Times New Roman" w:hAnsi="Times New Roman" w:cs="Times New Roman"/>
          <w:i/>
          <w:sz w:val="24"/>
          <w:szCs w:val="24"/>
        </w:rPr>
        <w:t>nonce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F45C7" w:rsidRPr="00651A2E" w:rsidRDefault="001F45C7" w:rsidP="000522B0">
      <w:pPr>
        <w:spacing w:before="240" w:after="0" w:line="276" w:lineRule="exact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51A2E">
        <w:rPr>
          <w:rFonts w:ascii="Times New Roman" w:hAnsi="Times New Roman" w:cs="Times New Roman"/>
          <w:i/>
          <w:sz w:val="24"/>
          <w:szCs w:val="24"/>
        </w:rPr>
        <w:t>hash</w:t>
      </w:r>
      <w:proofErr w:type="gramEnd"/>
      <w:r w:rsidRPr="00651A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(данные + </w:t>
      </w:r>
      <w:r w:rsidRPr="00651A2E">
        <w:rPr>
          <w:rFonts w:ascii="Times New Roman" w:hAnsi="Times New Roman" w:cs="Times New Roman"/>
          <w:i/>
          <w:sz w:val="24"/>
          <w:szCs w:val="24"/>
        </w:rPr>
        <w:t>nonce</w:t>
      </w:r>
      <w:r w:rsidRPr="00651A2E">
        <w:rPr>
          <w:rFonts w:ascii="Times New Roman" w:hAnsi="Times New Roman" w:cs="Times New Roman"/>
          <w:i/>
          <w:sz w:val="24"/>
          <w:szCs w:val="24"/>
          <w:lang w:val="ru-RU"/>
        </w:rPr>
        <w:t>) = дайджест</w:t>
      </w:r>
    </w:p>
    <w:p w:rsidR="001F45C7" w:rsidRPr="00E40D34" w:rsidRDefault="001F45C7" w:rsidP="00E40D34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Лишь изменение значения </w:t>
      </w:r>
      <w:r w:rsidRPr="00C316D0">
        <w:rPr>
          <w:rFonts w:ascii="Times New Roman" w:hAnsi="Times New Roman" w:cs="Times New Roman"/>
          <w:i/>
          <w:sz w:val="24"/>
          <w:szCs w:val="24"/>
        </w:rPr>
        <w:t>nonce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механизм для получения разных значений дайджеста при сохранении одних и тех же данных</w:t>
      </w:r>
      <w:r w:rsidR="00C316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Эта методика используется в консенсусной модели "доказательства работы" (глава 4.1).</w:t>
      </w:r>
      <w:hyperlink w:anchor="br30" w:history="1"/>
      <w:hyperlink w:anchor="br30" w:history="1"/>
      <w:hyperlink w:anchor="br30" w:history="1"/>
    </w:p>
    <w:p w:rsidR="001F45C7" w:rsidRPr="00DE0E9B" w:rsidRDefault="001F45C7" w:rsidP="00E40D34">
      <w:pPr>
        <w:spacing w:before="237" w:after="0" w:line="255" w:lineRule="exact"/>
        <w:ind w:firstLine="567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E0E9B">
        <w:rPr>
          <w:rFonts w:ascii="Times New Roman" w:hAnsi="Times New Roman" w:cs="Times New Roman"/>
          <w:b/>
          <w:sz w:val="26"/>
          <w:szCs w:val="26"/>
          <w:lang w:val="ru-RU"/>
        </w:rPr>
        <w:t>3.2 Транзакции</w:t>
      </w:r>
    </w:p>
    <w:p w:rsidR="00100CFC" w:rsidRDefault="001F45C7" w:rsidP="00E40D34">
      <w:pPr>
        <w:spacing w:before="239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Транзакция представляет собой взаимодействие между участниками сети. В случае с криптовалютами, например, транзакция представляет собой пересылку криптовалюты между пользователями сети блокчейн. Для сценариев «бизнес для бизнеса» транзакция может быть способом регистрации операций, связанных с цифровыми или физическими активами. На рисунке 1 изображён условный пример транзакции с криптовалютой. Каждый блок в блокчейне может содержать ноль или более транзакций. Для некоторых реализаций блокчейна непрерывное добавление новых блоков (даже с нулевыми транзакциями) является критически важным для поддержания безопасности сети блокчейна. Благодаря непрерывному добавлению новых блоков, злоумышленники не могут «догнать» и создать более длинную изменённую цепочку блокчейна (глава 4.7).</w:t>
      </w:r>
    </w:p>
    <w:p w:rsidR="00100CFC" w:rsidRDefault="00100CFC" w:rsidP="00E40D34">
      <w:pPr>
        <w:spacing w:before="239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00CFC" w:rsidRDefault="00100CFC" w:rsidP="00100CFC">
      <w:pPr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41EC" w:rsidRDefault="00D841EC" w:rsidP="00100CFC">
      <w:pPr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00CFC" w:rsidRPr="00E40D34" w:rsidRDefault="00100CFC" w:rsidP="00100CFC">
      <w:pPr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Рисунок 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E40D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2960">
        <w:rPr>
          <w:rFonts w:ascii="Times New Roman" w:hAnsi="Times New Roman" w:cs="Times New Roman"/>
          <w:sz w:val="24"/>
          <w:szCs w:val="24"/>
          <w:lang w:val="ru-RU"/>
        </w:rPr>
        <w:t>Пример криптовалютной транзакции</w:t>
      </w:r>
    </w:p>
    <w:p w:rsidR="001F45C7" w:rsidRPr="00E40D34" w:rsidRDefault="001F45C7" w:rsidP="00E40D34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Данные, формирующие транзакцию, могут быть разными в каждой реализации блокчейна, однако механизм проведения транзакций в основном одинаков. Пользователь посылает информацию в сеть блокчейн. Посылаемая информация может включать: адрес отправителя (или другой релевантный идентификатор), открытый ключ отправителя, цифровую подпись, входы транзакции и выходы транзакции.</w:t>
      </w:r>
    </w:p>
    <w:p w:rsidR="000522B0" w:rsidRDefault="001F45C7" w:rsidP="000522B0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Одна криптовалютная транзакция обычно требует</w:t>
      </w:r>
      <w:r w:rsidR="000522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как минимум</w:t>
      </w:r>
      <w:r w:rsidR="000522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 xml:space="preserve"> следующей информации, но может включать и больше:</w:t>
      </w:r>
    </w:p>
    <w:p w:rsidR="000522B0" w:rsidRPr="000522B0" w:rsidRDefault="001F45C7" w:rsidP="000522B0">
      <w:pPr>
        <w:pStyle w:val="aa"/>
        <w:numPr>
          <w:ilvl w:val="0"/>
          <w:numId w:val="2"/>
        </w:numPr>
        <w:spacing w:before="240" w:after="0" w:line="276" w:lineRule="exact"/>
        <w:ind w:left="993"/>
        <w:rPr>
          <w:rFonts w:ascii="Times New Roman" w:hAnsi="Times New Roman" w:cs="Times New Roman"/>
          <w:sz w:val="24"/>
          <w:szCs w:val="24"/>
          <w:lang w:val="ru-RU"/>
        </w:rPr>
      </w:pPr>
      <w:r w:rsidRPr="00A87174">
        <w:rPr>
          <w:rFonts w:ascii="Times New Roman" w:hAnsi="Times New Roman" w:cs="Times New Roman"/>
          <w:i/>
          <w:sz w:val="24"/>
          <w:szCs w:val="24"/>
          <w:lang w:val="ru-RU"/>
        </w:rPr>
        <w:t>Входы</w:t>
      </w:r>
      <w:r w:rsidRPr="000522B0">
        <w:rPr>
          <w:rFonts w:ascii="Times New Roman" w:hAnsi="Times New Roman" w:cs="Times New Roman"/>
          <w:sz w:val="24"/>
          <w:szCs w:val="24"/>
          <w:lang w:val="ru-RU"/>
        </w:rPr>
        <w:t xml:space="preserve">. Входы, как правило, представляют собой список цифровых активов, подлежащих передаче. Транзакция будет ссылаться на источник цифрового актива (указание происхождения), в качестве которого может выступать </w:t>
      </w:r>
      <w:r w:rsidRPr="000522B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предыдущая транзакция, в которой актив был передан отправителю, либо, в случае новых цифровых активов</w:t>
      </w:r>
      <w:r w:rsidR="0020234D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0522B0">
        <w:rPr>
          <w:rFonts w:ascii="Times New Roman" w:hAnsi="Times New Roman" w:cs="Times New Roman"/>
          <w:sz w:val="24"/>
          <w:szCs w:val="24"/>
          <w:lang w:val="ru-RU"/>
        </w:rPr>
        <w:t xml:space="preserve"> событие "зарождения". Так как входом для транзакции является ссылка на прошлые события, цифровые активы не изменяются. В случае криптовалют это означает, что стоимость не может быть добавлена или вычтена из существующих цифровых активов. Вместо этого один цифровой актив можно разделить на несколько новых цифровых активов (каждый с меньшей стоимостью) или несколько цифровых активов можно объединить, чтобы сформировать меньшее количество новых цифровых активов (соответственно с большей стоимостью). Разделение или объединение активов будет указано в выходе транзакции. Отправитель также должен предоставить доказательство того, что у него есть доступ к </w:t>
      </w:r>
      <w:r w:rsidR="00A41CA5">
        <w:rPr>
          <w:rFonts w:ascii="Times New Roman" w:hAnsi="Times New Roman" w:cs="Times New Roman"/>
          <w:sz w:val="24"/>
          <w:szCs w:val="24"/>
          <w:lang w:val="ru-RU"/>
        </w:rPr>
        <w:t>указанным</w:t>
      </w:r>
      <w:r w:rsidRPr="000522B0">
        <w:rPr>
          <w:rFonts w:ascii="Times New Roman" w:hAnsi="Times New Roman" w:cs="Times New Roman"/>
          <w:sz w:val="24"/>
          <w:szCs w:val="24"/>
          <w:lang w:val="ru-RU"/>
        </w:rPr>
        <w:t xml:space="preserve"> входам, как правило, цифровой подписью транзакции, подтвержда</w:t>
      </w:r>
      <w:r w:rsidR="00CF335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522B0">
        <w:rPr>
          <w:rFonts w:ascii="Times New Roman" w:hAnsi="Times New Roman" w:cs="Times New Roman"/>
          <w:sz w:val="24"/>
          <w:szCs w:val="24"/>
          <w:lang w:val="ru-RU"/>
        </w:rPr>
        <w:t xml:space="preserve"> доступ к закрытому ключу.</w:t>
      </w:r>
    </w:p>
    <w:p w:rsidR="001F45C7" w:rsidRPr="000522B0" w:rsidRDefault="001F45C7" w:rsidP="000522B0">
      <w:pPr>
        <w:pStyle w:val="aa"/>
        <w:numPr>
          <w:ilvl w:val="0"/>
          <w:numId w:val="2"/>
        </w:numPr>
        <w:spacing w:before="240" w:after="0" w:line="276" w:lineRule="exact"/>
        <w:ind w:left="993"/>
        <w:rPr>
          <w:rFonts w:ascii="Times New Roman" w:hAnsi="Times New Roman" w:cs="Times New Roman"/>
          <w:sz w:val="24"/>
          <w:szCs w:val="24"/>
        </w:rPr>
      </w:pPr>
      <w:r w:rsidRPr="00A87174">
        <w:rPr>
          <w:rFonts w:ascii="Times New Roman" w:hAnsi="Times New Roman" w:cs="Times New Roman"/>
          <w:i/>
          <w:sz w:val="24"/>
          <w:szCs w:val="24"/>
          <w:lang w:val="ru-RU"/>
        </w:rPr>
        <w:t>Выходы</w:t>
      </w:r>
      <w:r w:rsidRPr="000522B0">
        <w:rPr>
          <w:rFonts w:ascii="Times New Roman" w:hAnsi="Times New Roman" w:cs="Times New Roman"/>
          <w:sz w:val="24"/>
          <w:szCs w:val="24"/>
          <w:lang w:val="ru-RU"/>
        </w:rPr>
        <w:t xml:space="preserve">. Выходами обычно считаются аккаунты, выступающие в качестве получателей цифровых активов, а также количество цифровых активов, которые они получают. Каждый выход содержит количество цифровых активов, которые должны быть переданы новому владельцу (владельцам), идентификатор нового владельца (владельцев) и перечень условий, которым должны следовать новые владельцы, чтобы использовать эти активы. Если переданных цифровых активов больше, чем требуется, лишние средства должны быть явным образом отосланы обратно отправителю </w:t>
      </w:r>
      <w:r w:rsidRPr="000522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22B0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05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0">
        <w:rPr>
          <w:rFonts w:ascii="Times New Roman" w:hAnsi="Times New Roman" w:cs="Times New Roman"/>
          <w:sz w:val="24"/>
          <w:szCs w:val="24"/>
        </w:rPr>
        <w:t>называемый</w:t>
      </w:r>
      <w:proofErr w:type="spellEnd"/>
      <w:r w:rsidRPr="0005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0">
        <w:rPr>
          <w:rFonts w:ascii="Times New Roman" w:hAnsi="Times New Roman" w:cs="Times New Roman"/>
          <w:sz w:val="24"/>
          <w:szCs w:val="24"/>
        </w:rPr>
        <w:t>механизм</w:t>
      </w:r>
      <w:proofErr w:type="spellEnd"/>
      <w:r w:rsidRPr="000522B0">
        <w:rPr>
          <w:rFonts w:ascii="Times New Roman" w:hAnsi="Times New Roman" w:cs="Times New Roman"/>
          <w:sz w:val="24"/>
          <w:szCs w:val="24"/>
        </w:rPr>
        <w:t xml:space="preserve"> </w:t>
      </w:r>
      <w:r w:rsidRPr="00A8717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87174">
        <w:rPr>
          <w:rFonts w:ascii="Times New Roman" w:hAnsi="Times New Roman" w:cs="Times New Roman"/>
          <w:i/>
          <w:sz w:val="24"/>
          <w:szCs w:val="24"/>
        </w:rPr>
        <w:t>сдачи</w:t>
      </w:r>
      <w:proofErr w:type="spellEnd"/>
      <w:r w:rsidRPr="00A87174">
        <w:rPr>
          <w:rFonts w:ascii="Times New Roman" w:hAnsi="Times New Roman" w:cs="Times New Roman"/>
          <w:i/>
          <w:sz w:val="24"/>
          <w:szCs w:val="24"/>
        </w:rPr>
        <w:t>»</w:t>
      </w:r>
      <w:r w:rsidRPr="000522B0">
        <w:rPr>
          <w:rFonts w:ascii="Times New Roman" w:hAnsi="Times New Roman" w:cs="Times New Roman"/>
          <w:sz w:val="24"/>
          <w:szCs w:val="24"/>
        </w:rPr>
        <w:t>).</w:t>
      </w:r>
    </w:p>
    <w:p w:rsidR="001F45C7" w:rsidRPr="00E40D34" w:rsidRDefault="001F45C7" w:rsidP="00E40D34">
      <w:pPr>
        <w:spacing w:before="241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z w:val="24"/>
          <w:szCs w:val="24"/>
          <w:lang w:val="ru-RU"/>
        </w:rPr>
        <w:t>Хотя транзакции преимущественно используются для передачи цифровых активов, в более общем представлении они могут использоваться для передачи данных. Например, кто-то просто может захотеть перманентно и публично разместить данные в блокчейне. В случае систем смарт-контрактов транзакции могут использоваться для отправки данных, обработки этих данных и сохранения результата в блокчейне. Например, транзакция может быть использована для изменения атрибута оцифрованного актива, такого как местоположение груза в системе управления цепочками поставок на основе блокчейн-технологии (</w:t>
      </w:r>
      <w:proofErr w:type="spellStart"/>
      <w:r w:rsidRPr="00E40D34">
        <w:rPr>
          <w:rFonts w:ascii="Times New Roman" w:hAnsi="Times New Roman" w:cs="Times New Roman"/>
          <w:sz w:val="24"/>
          <w:szCs w:val="24"/>
        </w:rPr>
        <w:t>BCTeSCS</w:t>
      </w:r>
      <w:proofErr w:type="spellEnd"/>
      <w:r w:rsidRPr="00E40D3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7056C" w:rsidRPr="0097056C" w:rsidRDefault="001F45C7" w:rsidP="0097056C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40D34">
        <w:rPr>
          <w:rFonts w:ascii="Times New Roman" w:hAnsi="Times New Roman" w:cs="Times New Roman"/>
          <w:spacing w:val="-60"/>
          <w:sz w:val="24"/>
          <w:szCs w:val="24"/>
          <w:lang w:val="ru-RU"/>
        </w:rPr>
        <w:t xml:space="preserve"> </w:t>
      </w:r>
      <w:r w:rsidRPr="00E40D34">
        <w:rPr>
          <w:rFonts w:ascii="Times New Roman" w:hAnsi="Times New Roman" w:cs="Times New Roman"/>
          <w:sz w:val="24"/>
          <w:szCs w:val="24"/>
          <w:lang w:val="ru-RU"/>
        </w:rPr>
        <w:t>Независимо от того, как формируются и передаются данные, определение валидности и подлинности транзакции имеет важное значение. Валидность транзакции гарантирует, что транзакция соответствует требованиям протокола и любым формализованным форматам данных или требованиям смарт-контрактов, присущим реализации блокчейна. Подлинность транзакции также важна, поскольку она подтверждает, что отправитель цифровых активов имел доступ к этим цифровым активам. Транзакции, как правило, подписываются цифровой подписью с помощью закрытого ключа отправителя (криптография с асимметричным ключом кратко обсуждается в главе 3.3), и могут быть в любое время верифицированы с помощью соответствующего открытого ключа.</w:t>
      </w:r>
      <w:hyperlink w:anchor="br22" w:history="1"/>
      <w:hyperlink w:anchor="br22" w:history="1"/>
      <w:bookmarkStart w:id="2" w:name="br22"/>
      <w:bookmarkEnd w:id="2"/>
    </w:p>
    <w:p w:rsidR="0097056C" w:rsidRDefault="0097056C" w:rsidP="0097056C">
      <w:pPr>
        <w:spacing w:before="240" w:after="0" w:line="276" w:lineRule="exac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F45C7" w:rsidRPr="00DE0E9B" w:rsidRDefault="001F45C7" w:rsidP="0097056C">
      <w:pPr>
        <w:spacing w:before="240" w:after="0" w:line="276" w:lineRule="exact"/>
        <w:ind w:firstLine="56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E0E9B">
        <w:rPr>
          <w:rFonts w:ascii="Times New Roman" w:hAnsi="Times New Roman" w:cs="Times New Roman"/>
          <w:b/>
          <w:sz w:val="26"/>
          <w:szCs w:val="26"/>
        </w:rPr>
        <w:t>3.3</w:t>
      </w:r>
      <w:proofErr w:type="gramEnd"/>
      <w:r w:rsidRPr="00DE0E9B">
        <w:rPr>
          <w:rFonts w:ascii="Times New Roman" w:hAnsi="Times New Roman" w:cs="Times New Roman"/>
          <w:b/>
          <w:sz w:val="26"/>
          <w:szCs w:val="26"/>
        </w:rPr>
        <w:t xml:space="preserve"> Асимметричное шифрование</w:t>
      </w:r>
    </w:p>
    <w:p w:rsidR="00BC7704" w:rsidRDefault="00BC7704" w:rsidP="00E40D34">
      <w:pPr>
        <w:spacing w:before="0" w:after="0" w:line="234" w:lineRule="exac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C7704" w:rsidRPr="00F473D9" w:rsidRDefault="00BC7704" w:rsidP="00E40D34">
      <w:pPr>
        <w:spacing w:before="0" w:after="0" w:line="23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F473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C7704" w:rsidRPr="00F473D9" w:rsidRDefault="00BC7704" w:rsidP="00E40D34">
      <w:pPr>
        <w:spacing w:before="0" w:after="0" w:line="234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BC7704" w:rsidRPr="00F473D9" w:rsidRDefault="00BC7704" w:rsidP="00E40D34">
      <w:pPr>
        <w:spacing w:before="0" w:after="0" w:line="234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BC7704" w:rsidRPr="00DE0E9B" w:rsidRDefault="00BC7704" w:rsidP="00E40D34">
      <w:pPr>
        <w:spacing w:before="0" w:after="0" w:line="234" w:lineRule="exact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DE0E9B">
        <w:rPr>
          <w:rFonts w:ascii="Times New Roman" w:hAnsi="Times New Roman" w:cs="Times New Roman"/>
          <w:b/>
          <w:sz w:val="26"/>
          <w:szCs w:val="26"/>
          <w:lang w:val="ru-RU"/>
        </w:rPr>
        <w:t>Источник</w:t>
      </w:r>
      <w:r w:rsidRPr="00DE0E9B">
        <w:rPr>
          <w:rFonts w:ascii="Times New Roman" w:hAnsi="Times New Roman" w:cs="Times New Roman"/>
          <w:b/>
          <w:sz w:val="26"/>
          <w:szCs w:val="26"/>
        </w:rPr>
        <w:t>:</w:t>
      </w:r>
    </w:p>
    <w:p w:rsidR="001F45C7" w:rsidRDefault="00BC7704" w:rsidP="00BC7704">
      <w:pPr>
        <w:pStyle w:val="Default"/>
        <w:ind w:firstLine="567"/>
        <w:rPr>
          <w:lang w:val="en-US"/>
        </w:rPr>
      </w:pPr>
      <w:r w:rsidRPr="00BC7704">
        <w:rPr>
          <w:lang w:val="en-US"/>
        </w:rPr>
        <w:t xml:space="preserve">D. </w:t>
      </w:r>
      <w:proofErr w:type="spellStart"/>
      <w:r w:rsidRPr="00BC7704">
        <w:rPr>
          <w:lang w:val="en-US"/>
        </w:rPr>
        <w:t>Yaga</w:t>
      </w:r>
      <w:proofErr w:type="spellEnd"/>
      <w:r w:rsidRPr="00BC7704">
        <w:rPr>
          <w:lang w:val="en-US"/>
        </w:rPr>
        <w:t xml:space="preserve">, P. </w:t>
      </w:r>
      <w:proofErr w:type="spellStart"/>
      <w:r w:rsidRPr="00BC7704">
        <w:rPr>
          <w:lang w:val="en-US"/>
        </w:rPr>
        <w:t>Mell</w:t>
      </w:r>
      <w:proofErr w:type="spellEnd"/>
      <w:r w:rsidRPr="00BC7704">
        <w:rPr>
          <w:lang w:val="en-US"/>
        </w:rPr>
        <w:t xml:space="preserve">, N. Roby, K. </w:t>
      </w:r>
      <w:proofErr w:type="spellStart"/>
      <w:r w:rsidRPr="00BC7704">
        <w:rPr>
          <w:lang w:val="en-US"/>
        </w:rPr>
        <w:t>Scarfone</w:t>
      </w:r>
      <w:proofErr w:type="spellEnd"/>
      <w:r w:rsidRPr="00BC7704">
        <w:rPr>
          <w:lang w:val="en-US"/>
        </w:rPr>
        <w:t xml:space="preserve"> «</w:t>
      </w:r>
      <w:proofErr w:type="spellStart"/>
      <w:r w:rsidRPr="00BC7704">
        <w:rPr>
          <w:bCs/>
          <w:lang w:val="en-US"/>
        </w:rPr>
        <w:t>Blockchain</w:t>
      </w:r>
      <w:proofErr w:type="spellEnd"/>
      <w:r w:rsidRPr="00BC7704">
        <w:rPr>
          <w:bCs/>
          <w:lang w:val="en-US"/>
        </w:rPr>
        <w:t xml:space="preserve"> Technology Overview</w:t>
      </w:r>
      <w:r w:rsidRPr="00BC7704">
        <w:rPr>
          <w:lang w:val="en-US"/>
        </w:rPr>
        <w:t xml:space="preserve">». National Institute of Standards and Technology, U.S. Department of Commerce, 2018. </w:t>
      </w:r>
      <w:hyperlink r:id="rId7" w:history="1">
        <w:r w:rsidRPr="00BC7704">
          <w:rPr>
            <w:rStyle w:val="a8"/>
            <w:lang w:val="en-US"/>
          </w:rPr>
          <w:t>https://doi.org/10.6028/NIST.IR.8202</w:t>
        </w:r>
      </w:hyperlink>
    </w:p>
    <w:p w:rsidR="001756C4" w:rsidRDefault="001756C4" w:rsidP="00BC7704">
      <w:pPr>
        <w:pStyle w:val="Default"/>
        <w:ind w:firstLine="567"/>
        <w:rPr>
          <w:lang w:val="en-US"/>
        </w:rPr>
      </w:pPr>
    </w:p>
    <w:p w:rsidR="001756C4" w:rsidRPr="001756C4" w:rsidRDefault="001756C4" w:rsidP="00BC7704">
      <w:pPr>
        <w:pStyle w:val="Default"/>
        <w:ind w:firstLine="567"/>
        <w:rPr>
          <w:b/>
          <w:color w:val="auto"/>
        </w:rPr>
      </w:pPr>
      <w:r w:rsidRPr="001756C4">
        <w:rPr>
          <w:b/>
        </w:rPr>
        <w:t>Перевод:</w:t>
      </w:r>
      <w:r>
        <w:t xml:space="preserve"> Алексей Виноградов.</w:t>
      </w:r>
    </w:p>
    <w:sectPr w:rsidR="001756C4" w:rsidRPr="001756C4" w:rsidSect="007D1D77">
      <w:headerReference w:type="default" r:id="rId8"/>
      <w:footerReference w:type="default" r:id="rId9"/>
      <w:pgSz w:w="12240" w:h="15840"/>
      <w:pgMar w:top="1418" w:right="1467" w:bottom="0" w:left="1440" w:header="720" w:footer="720" w:gutter="0"/>
      <w:pgNumType w:start="7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2E" w:rsidRDefault="00910F2E" w:rsidP="00F239F5">
      <w:pPr>
        <w:spacing w:before="0" w:after="0" w:line="240" w:lineRule="auto"/>
      </w:pPr>
      <w:r>
        <w:separator/>
      </w:r>
    </w:p>
  </w:endnote>
  <w:endnote w:type="continuationSeparator" w:id="0">
    <w:p w:rsidR="00910F2E" w:rsidRDefault="00910F2E" w:rsidP="00F239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658870"/>
      <w:docPartObj>
        <w:docPartGallery w:val="Page Numbers (Bottom of Page)"/>
        <w:docPartUnique/>
      </w:docPartObj>
    </w:sdtPr>
    <w:sdtEndPr/>
    <w:sdtContent>
      <w:p w:rsidR="00723CB6" w:rsidRDefault="00723CB6">
        <w:pPr>
          <w:pStyle w:val="a5"/>
          <w:jc w:val="center"/>
        </w:pPr>
      </w:p>
      <w:p w:rsidR="00723CB6" w:rsidRDefault="00723CB6">
        <w:pPr>
          <w:pStyle w:val="a5"/>
          <w:jc w:val="center"/>
        </w:pPr>
      </w:p>
      <w:p w:rsidR="00723CB6" w:rsidRDefault="00910F2E">
        <w:pPr>
          <w:pStyle w:val="a5"/>
          <w:jc w:val="center"/>
        </w:pPr>
      </w:p>
    </w:sdtContent>
  </w:sdt>
  <w:p w:rsidR="00723CB6" w:rsidRDefault="00723C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2E" w:rsidRDefault="00910F2E" w:rsidP="00F239F5">
      <w:pPr>
        <w:spacing w:before="0" w:after="0" w:line="240" w:lineRule="auto"/>
      </w:pPr>
      <w:r>
        <w:separator/>
      </w:r>
    </w:p>
  </w:footnote>
  <w:footnote w:type="continuationSeparator" w:id="0">
    <w:p w:rsidR="00910F2E" w:rsidRDefault="00910F2E" w:rsidP="00F239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B6" w:rsidRDefault="00723CB6">
    <w:pPr>
      <w:pStyle w:val="a3"/>
      <w:rPr>
        <w:rFonts w:ascii="Times New Roman" w:hAnsi="Times New Roman" w:cs="Times New Roman"/>
        <w:color w:val="D9D9D9" w:themeColor="background1" w:themeShade="D9"/>
        <w:sz w:val="20"/>
        <w:szCs w:val="20"/>
        <w:lang w:val="ru-RU"/>
      </w:rPr>
    </w:pPr>
  </w:p>
  <w:p w:rsidR="00D841EC" w:rsidRDefault="00D84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1404"/>
    <w:multiLevelType w:val="hybridMultilevel"/>
    <w:tmpl w:val="3370D2B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1011DDA"/>
    <w:multiLevelType w:val="hybridMultilevel"/>
    <w:tmpl w:val="F2D09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C7"/>
    <w:rsid w:val="000522B0"/>
    <w:rsid w:val="00100CFC"/>
    <w:rsid w:val="00115F7A"/>
    <w:rsid w:val="00131A4A"/>
    <w:rsid w:val="001536D0"/>
    <w:rsid w:val="001756C4"/>
    <w:rsid w:val="001C2A99"/>
    <w:rsid w:val="001F45C7"/>
    <w:rsid w:val="0020234D"/>
    <w:rsid w:val="00205BE8"/>
    <w:rsid w:val="002105B7"/>
    <w:rsid w:val="00243B59"/>
    <w:rsid w:val="002F37F8"/>
    <w:rsid w:val="002F59A3"/>
    <w:rsid w:val="00362F83"/>
    <w:rsid w:val="003A5C59"/>
    <w:rsid w:val="003C57B2"/>
    <w:rsid w:val="003F1754"/>
    <w:rsid w:val="004930AD"/>
    <w:rsid w:val="005072C8"/>
    <w:rsid w:val="00540989"/>
    <w:rsid w:val="00560B7B"/>
    <w:rsid w:val="0057138F"/>
    <w:rsid w:val="00594309"/>
    <w:rsid w:val="005B7F1D"/>
    <w:rsid w:val="005F5AA8"/>
    <w:rsid w:val="0064507F"/>
    <w:rsid w:val="00651A2E"/>
    <w:rsid w:val="00695809"/>
    <w:rsid w:val="0072090D"/>
    <w:rsid w:val="00723CB6"/>
    <w:rsid w:val="007C5CF3"/>
    <w:rsid w:val="007D1D77"/>
    <w:rsid w:val="007E15BF"/>
    <w:rsid w:val="007F61A2"/>
    <w:rsid w:val="00825D5D"/>
    <w:rsid w:val="008A245B"/>
    <w:rsid w:val="008A5923"/>
    <w:rsid w:val="008D52DE"/>
    <w:rsid w:val="008D679A"/>
    <w:rsid w:val="00910F2E"/>
    <w:rsid w:val="0092180B"/>
    <w:rsid w:val="009548B5"/>
    <w:rsid w:val="0097056C"/>
    <w:rsid w:val="009944EE"/>
    <w:rsid w:val="009B3DED"/>
    <w:rsid w:val="00A23D9E"/>
    <w:rsid w:val="00A41CA5"/>
    <w:rsid w:val="00A65C42"/>
    <w:rsid w:val="00A71914"/>
    <w:rsid w:val="00A87174"/>
    <w:rsid w:val="00A90F4E"/>
    <w:rsid w:val="00B21574"/>
    <w:rsid w:val="00B86B90"/>
    <w:rsid w:val="00BC7704"/>
    <w:rsid w:val="00C316D0"/>
    <w:rsid w:val="00C5155D"/>
    <w:rsid w:val="00C90A14"/>
    <w:rsid w:val="00CA3DED"/>
    <w:rsid w:val="00CF3358"/>
    <w:rsid w:val="00CF68C6"/>
    <w:rsid w:val="00D841EC"/>
    <w:rsid w:val="00D853E5"/>
    <w:rsid w:val="00D90899"/>
    <w:rsid w:val="00DD2960"/>
    <w:rsid w:val="00DE0E9B"/>
    <w:rsid w:val="00E04B73"/>
    <w:rsid w:val="00E06076"/>
    <w:rsid w:val="00E40D34"/>
    <w:rsid w:val="00E50D46"/>
    <w:rsid w:val="00EB25CC"/>
    <w:rsid w:val="00EE55FC"/>
    <w:rsid w:val="00EF221B"/>
    <w:rsid w:val="00F239F5"/>
    <w:rsid w:val="00F473D9"/>
    <w:rsid w:val="00F93E01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3CFFB2-E7B2-4A08-A195-6B1C631C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45C7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1F45C7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39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9F5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F239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9F5"/>
    <w:rPr>
      <w:rFonts w:eastAsiaTheme="minorEastAsia"/>
      <w:lang w:val="en-US"/>
    </w:rPr>
  </w:style>
  <w:style w:type="table" w:styleId="a7">
    <w:name w:val="Table Grid"/>
    <w:basedOn w:val="a1"/>
    <w:uiPriority w:val="39"/>
    <w:rsid w:val="00E4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5C5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5C59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7C5CF3"/>
    <w:pPr>
      <w:ind w:left="720"/>
      <w:contextualSpacing/>
    </w:pPr>
  </w:style>
  <w:style w:type="paragraph" w:customStyle="1" w:styleId="Default">
    <w:name w:val="Default"/>
    <w:rsid w:val="00BC7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6028/NIST.IR.8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2021-06-21T04:47:00Z</dcterms:created>
  <dcterms:modified xsi:type="dcterms:W3CDTF">2021-06-21T05:06:00Z</dcterms:modified>
</cp:coreProperties>
</file>