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36830</wp:posOffset>
                </wp:positionH>
                <wp:positionV relativeFrom="paragraph">
                  <wp:posOffset>1922780</wp:posOffset>
                </wp:positionV>
                <wp:extent cx="214630" cy="570801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4630" cy="570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ОВОЩНЫЕ КУЛЬТУРЫ. Классификация овощных культур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8999999999999999pt;margin-top:151.40000000000001pt;width:16.899999999999999pt;height:449.44999999999999pt;z-index:-125829375;mso-wrap-distance-left:9.pt;mso-wrap-distance-right:9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ОВОЩНЫЕ КУЛЬТУРЫ. Классификация овощных культур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01600" distR="101600" simplePos="0" relativeHeight="125829380" behindDoc="0" locked="0" layoutInCell="1" allowOverlap="1">
                <wp:simplePos x="0" y="0"/>
                <wp:positionH relativeFrom="page">
                  <wp:posOffset>53340</wp:posOffset>
                </wp:positionH>
                <wp:positionV relativeFrom="paragraph">
                  <wp:posOffset>7769860</wp:posOffset>
                </wp:positionV>
                <wp:extent cx="248920" cy="1460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92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360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.2000000000000002pt;margin-top:611.80000000000007pt;width:19.600000000000001pt;height:11.5pt;z-index:-125829373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360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лежкости, устойчивые к капустной киле, одно</w:t>
        <w:softHyphen/>
        <w:t>домные формы огурца, сорта моркови со зна</w:t>
        <w:softHyphen/>
        <w:t>чительно повышенным содержанием кароти</w:t>
        <w:softHyphen/>
        <w:t>на, сорта корнеплодов, в частности свеклы, для позднего подзимнего посева.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Проводятся также работы по интродукции лучших зарубежных сортов в почвенно-кли</w:t>
        <w:softHyphen/>
        <w:t>матические условия различных регионов. По различным данным, в настоящее время райо</w:t>
        <w:softHyphen/>
        <w:t>нировано более 900 сортов овощных культур, из которых более 80 % составляют сорта рос</w:t>
        <w:softHyphen/>
        <w:t>сийской селекции.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Классификация овощных культур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Овощи — чрезвычайно емкое понятие, имею</w:t>
        <w:softHyphen/>
        <w:t>щее весьма размытые нечеткие границы. Наи</w:t>
        <w:softHyphen/>
        <w:t>более приемлемое определение овощам было дано профессором В.И. Эдельштейном, назы</w:t>
        <w:softHyphen/>
        <w:t>вавшим овощами “травянистые растения, воз</w:t>
        <w:softHyphen/>
        <w:t>делываемые ради их сочных частей, употреб</w:t>
        <w:softHyphen/>
        <w:t>ляемых в пищу человеком”. К таким растениям, которые население нашей планеты использует в качестве овощей, относятся более 1200 видов по всему миру, из них наибольшее распростра</w:t>
        <w:softHyphen/>
        <w:t>нение полущили 690 видов, принадлежащих к 9 ботаническим семействам. Распространение этих видов овощей в культуре в разных частях и сгранах земного шара неравномерно. Так, на</w:t>
        <w:softHyphen/>
        <w:t>пример, наибольшее число видов овощных культур используется человеком в Азии, чему способствует богатство ее флоры и благопри</w:t>
        <w:softHyphen/>
        <w:t>ятность климата: в Японии широко выращива</w:t>
        <w:softHyphen/>
        <w:t>ют около 100 видов овощей, в Китае — около 80, в Индии — более 60, в Корее — около 50 ви</w:t>
        <w:softHyphen/>
        <w:t>дов. На огромной территории нашей страны, по различным данным, выращивают до 40 ви</w:t>
        <w:softHyphen/>
        <w:t>дов овощных культур, из них 23 имеют массо</w:t>
        <w:softHyphen/>
        <w:t>вое распространение, это: капуста белокочан</w:t>
        <w:softHyphen/>
        <w:t>ная, пекинская, цветная, свекла, репа, брюква, морковь, редис, редька, огурец, тыква, кабачок, арбуз, дыня, помидор, перец, баклажан, лук репчатый, чеснок, сельдерей, петрушка, укроп, салат. Другие виды овощей также представле</w:t>
        <w:softHyphen/>
        <w:t>ны, но возделываются нс столь широко.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Каждая овощная культура имеет свои индивиду</w:t>
        <w:softHyphen/>
        <w:t>альные биологические особенности, характе</w:t>
        <w:softHyphen/>
        <w:t>ризуется особыми требованиями к условиям окружающей среды и способам выращивания, отличается способом употребления в пищу. Вместе с тем овощные растения имеют ряд об</w:t>
        <w:softHyphen/>
        <w:t>щих признаков, позволяющих объединять их в отдельные группы. По совокупности биологи</w:t>
        <w:softHyphen/>
        <w:t>ческих и хозяйственных признаков можно осу</w:t>
        <w:softHyphen/>
        <w:t>ществлять классификацию овощных культур.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 пищу используют самые разные части расте</w:t>
        <w:softHyphen/>
      </w:r>
      <w:r>
        <w:rPr>
          <w:color w:val="000000"/>
          <w:spacing w:val="0"/>
          <w:w w:val="100"/>
          <w:position w:val="0"/>
        </w:rPr>
        <w:t>ний; по признаку</w:t>
      </w:r>
      <w:r>
        <w:rPr>
          <w:color w:val="000000"/>
          <w:spacing w:val="0"/>
          <w:w w:val="100"/>
          <w:position w:val="0"/>
          <w:vertAlign w:val="superscript"/>
        </w:rPr>
        <w:t>7</w:t>
      </w:r>
      <w:r>
        <w:rPr>
          <w:color w:val="000000"/>
          <w:spacing w:val="0"/>
          <w:w w:val="100"/>
          <w:position w:val="0"/>
        </w:rPr>
        <w:t xml:space="preserve"> использования той или иной части овощные растения подразделяют на сле</w:t>
        <w:softHyphen/>
        <w:t>дующие грутшы.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9" w:val="left"/>
        </w:tabs>
        <w:bidi w:val="0"/>
        <w:spacing w:before="0" w:line="226" w:lineRule="auto"/>
        <w:ind w:left="0" w:right="0" w:firstLine="0"/>
        <w:jc w:val="both"/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Плодовые </w:t>
      </w:r>
      <w:r>
        <w:rPr>
          <w:color w:val="000000"/>
          <w:spacing w:val="0"/>
          <w:w w:val="100"/>
          <w:position w:val="0"/>
        </w:rPr>
        <w:t>(помидор, огурец, баклажан, пе</w:t>
        <w:softHyphen/>
        <w:t>рец, кабачок, патиссон, цуккини, крукнек, тык</w:t>
        <w:softHyphen/>
        <w:t>ва, арбуз, дыня, артишок, физалис, горох, бобы, фасоль, соя, кукуруза сахарная и др.).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067702"/>
          <w:spacing w:val="0"/>
          <w:w w:val="100"/>
          <w:position w:val="0"/>
        </w:rPr>
        <w:t xml:space="preserve">О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Корнеплодные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клубнеплодные </w:t>
      </w:r>
      <w:r>
        <w:rPr>
          <w:color w:val="000000"/>
          <w:spacing w:val="0"/>
          <w:w w:val="100"/>
          <w:position w:val="0"/>
        </w:rPr>
        <w:t>(мор</w:t>
        <w:softHyphen/>
        <w:t>ковь, брюква, свекла столовая, редька, редис, репа, сельдерей клубневой, петрушка корне</w:t>
        <w:softHyphen/>
        <w:t>вая, батат, топинамбур, овсяный корень, пас</w:t>
        <w:softHyphen/>
        <w:t>тернак, скорцонера и др.).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both"/>
      </w:pPr>
      <w:r>
        <w:rPr>
          <w:b/>
          <w:bCs/>
          <w:color w:val="067702"/>
          <w:spacing w:val="0"/>
          <w:w w:val="100"/>
          <w:position w:val="0"/>
          <w:sz w:val="19"/>
          <w:szCs w:val="19"/>
        </w:rPr>
        <w:t xml:space="preserve">€■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Луковые </w:t>
      </w:r>
      <w:r>
        <w:rPr>
          <w:color w:val="000000"/>
          <w:spacing w:val="0"/>
          <w:w w:val="100"/>
          <w:position w:val="0"/>
        </w:rPr>
        <w:t>(луж репчатый, лук-шалот, лук-по- рей, лук-слизун, лук душистый, лук многоярус</w:t>
        <w:softHyphen/>
        <w:t>ный, лук-батун, лук-резанец, дикорастущие лу</w:t>
        <w:softHyphen/>
        <w:t>ки, чеснок).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7" w:val="left"/>
        </w:tabs>
        <w:bidi w:val="0"/>
        <w:spacing w:before="0" w:line="223" w:lineRule="auto"/>
        <w:ind w:left="0" w:right="0" w:firstLine="0"/>
        <w:jc w:val="both"/>
      </w:pPr>
      <w:bookmarkStart w:id="1" w:name="bookmark1"/>
      <w:bookmarkEnd w:id="1"/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Листовые, </w:t>
      </w:r>
      <w:r>
        <w:rPr>
          <w:color w:val="000000"/>
          <w:spacing w:val="0"/>
          <w:w w:val="100"/>
          <w:position w:val="0"/>
        </w:rPr>
        <w:t xml:space="preserve">в том числе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капустные </w:t>
      </w:r>
      <w:r>
        <w:rPr>
          <w:color w:val="000000"/>
          <w:spacing w:val="0"/>
          <w:w w:val="100"/>
          <w:position w:val="0"/>
        </w:rPr>
        <w:t>(капус</w:t>
        <w:softHyphen/>
        <w:t>та белокочанная, краснокочанная, китайская, листовая, савойская, брюссельская, пекинская, кольраби, цветная, брокколи).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067702"/>
          <w:spacing w:val="0"/>
          <w:w w:val="100"/>
          <w:position w:val="0"/>
        </w:rPr>
        <w:t xml:space="preserve">v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Зеленные </w:t>
      </w:r>
      <w:r>
        <w:rPr>
          <w:color w:val="000000"/>
          <w:spacing w:val="0"/>
          <w:w w:val="100"/>
          <w:position w:val="0"/>
        </w:rPr>
        <w:t>(виды салата, цикорный салат (витлуф, эндивий), эскариол, шпинат, щавель, ревень, портулак, спаржа, амарант, водяной кресс, кресс-салат, лебеда садовая, горчица лис</w:t>
        <w:softHyphen/>
        <w:t>товая, свекла листовая (мангольд), огуречная трава, одуванчик, спаржа, ужроп).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both"/>
      </w:pPr>
      <w:r>
        <w:rPr>
          <w:color w:val="067702"/>
          <w:spacing w:val="0"/>
          <w:w w:val="100"/>
          <w:position w:val="0"/>
        </w:rPr>
        <w:t xml:space="preserve">о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Пряно-вкусовые </w:t>
      </w:r>
      <w:r>
        <w:rPr>
          <w:color w:val="000000"/>
          <w:spacing w:val="0"/>
          <w:w w:val="100"/>
          <w:position w:val="0"/>
        </w:rPr>
        <w:t>(анис, купырь, базилик, любисток, иссоп, змееголовник, кресс-салат, майоран, эстрагон, хрен, катран, кориандр, ме</w:t>
        <w:softHyphen/>
        <w:t>лисса, мята, шалфей, чабер, тмин, тимьян, роз</w:t>
        <w:softHyphen/>
        <w:t>марин, рута, нигелла, фенхель и др.).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Однако подобное деление по употребляемым в пищу</w:t>
      </w:r>
      <w:r>
        <w:rPr>
          <w:color w:val="000000"/>
          <w:spacing w:val="0"/>
          <w:w w:val="100"/>
          <w:position w:val="0"/>
          <w:vertAlign w:val="superscript"/>
        </w:rPr>
        <w:t>7</w:t>
      </w:r>
      <w:r>
        <w:rPr>
          <w:color w:val="000000"/>
          <w:spacing w:val="0"/>
          <w:w w:val="100"/>
          <w:position w:val="0"/>
        </w:rPr>
        <w:t xml:space="preserve"> частям культур достаточно условно и не вполне корректно с биологической точки зрения, кроме того, огромное разнообразие овощных растений невозможно уложить в столь простую схему. У некоторых плодовых овощных культур в пищу идут зрелые плоды (помидор, баклажан, перец, тыква), у других — недозрелые плоды (кабачок, патиссон, огурец, горох, фасоль “на лопатку”). У листовых овощ</w:t>
        <w:softHyphen/>
        <w:t xml:space="preserve">ных культур используют различные части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и </w:t>
      </w:r>
      <w:r>
        <w:rPr>
          <w:color w:val="000000"/>
          <w:spacing w:val="0"/>
          <w:w w:val="100"/>
          <w:position w:val="0"/>
        </w:rPr>
        <w:t>органы растения, а не только листья, как сле</w:t>
        <w:softHyphen/>
        <w:t>дует из названия. Так, у кочанной и брюссель</w:t>
        <w:softHyphen/>
        <w:t>ской капусты, кочанного и цикорного салата (витлуфа) в пищу употребляют разросшиеся почки, у брокколи и цветной капусты — нерас- крывшиеся соцветия. Собственно листья ис</w:t>
        <w:softHyphen/>
        <w:t>пользуют у пекинской и савойской капусты, листового салата, листовой свеклы (манголь</w:t>
        <w:softHyphen/>
        <w:t xml:space="preserve">да), щавеля, шпината и зеленого лука, а также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 xml:space="preserve">у </w:t>
      </w:r>
      <w:r>
        <w:rPr>
          <w:color w:val="000000"/>
          <w:spacing w:val="0"/>
          <w:w w:val="100"/>
          <w:position w:val="0"/>
        </w:rPr>
        <w:t>ряда пряно-ароматических культур, таких как</w:t>
      </w:r>
    </w:p>
    <w:sectPr>
      <w:footnotePr>
        <w:pos w:val="pageBottom"/>
        <w:numFmt w:val="decimal"/>
        <w:numRestart w:val="continuous"/>
      </w:footnotePr>
      <w:pgSz w:w="9887" w:h="12982"/>
      <w:pgMar w:top="129" w:right="138" w:bottom="122" w:left="739" w:header="0" w:footer="3" w:gutter="0"/>
      <w:pgNumType w:start="1"/>
      <w:cols w:num="2" w:space="3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#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67702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*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67702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">
    <w:name w:val="Основной текст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140" w:line="228" w:lineRule="auto"/>
    </w:pPr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