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E76" w:rsidRPr="00EF2E76" w:rsidRDefault="00EF2E76" w:rsidP="00EF2E76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24"/>
          <w:highlight w:val="yellow"/>
          <w:bdr w:val="none" w:sz="0" w:space="0" w:color="auto" w:frame="1"/>
          <w:lang w:eastAsia="ru-RU"/>
        </w:rPr>
      </w:pPr>
      <w:r w:rsidRPr="00EF2E76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24"/>
          <w:highlight w:val="yellow"/>
          <w:bdr w:val="none" w:sz="0" w:space="0" w:color="auto" w:frame="1"/>
          <w:lang w:eastAsia="ru-RU"/>
        </w:rPr>
        <w:t>Задание</w:t>
      </w:r>
    </w:p>
    <w:p w:rsidR="00D350DB" w:rsidRPr="00EF2E76" w:rsidRDefault="00D350DB" w:rsidP="00EF2E76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bdr w:val="none" w:sz="0" w:space="0" w:color="auto" w:frame="1"/>
          <w:lang w:eastAsia="ru-RU"/>
        </w:rPr>
      </w:pPr>
      <w:r w:rsidRPr="00EF2E76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highlight w:val="lightGray"/>
          <w:bdr w:val="none" w:sz="0" w:space="0" w:color="auto" w:frame="1"/>
          <w:lang w:eastAsia="ru-RU"/>
        </w:rPr>
        <w:t xml:space="preserve">Статья о блефароспазме для krasotaimedicina.ru с обязательными </w:t>
      </w:r>
      <w:proofErr w:type="gramStart"/>
      <w:r w:rsidRPr="00EF2E76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highlight w:val="lightGray"/>
          <w:bdr w:val="none" w:sz="0" w:space="0" w:color="auto" w:frame="1"/>
          <w:lang w:eastAsia="ru-RU"/>
        </w:rPr>
        <w:t>ключами :</w:t>
      </w:r>
      <w:proofErr w:type="gramEnd"/>
      <w:r w:rsidRPr="00EF2E76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highlight w:val="lightGray"/>
          <w:bdr w:val="none" w:sz="0" w:space="0" w:color="auto" w:frame="1"/>
          <w:lang w:eastAsia="ru-RU"/>
        </w:rPr>
        <w:t xml:space="preserve"> </w:t>
      </w:r>
      <w:proofErr w:type="spellStart"/>
      <w:r w:rsidRPr="00EF2E76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highlight w:val="lightGray"/>
          <w:bdr w:val="none" w:sz="0" w:space="0" w:color="auto" w:frame="1"/>
          <w:lang w:eastAsia="ru-RU"/>
        </w:rPr>
        <w:t>апроксия</w:t>
      </w:r>
      <w:proofErr w:type="spellEnd"/>
      <w:r w:rsidRPr="00EF2E76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highlight w:val="lightGray"/>
          <w:bdr w:val="none" w:sz="0" w:space="0" w:color="auto" w:frame="1"/>
          <w:lang w:eastAsia="ru-RU"/>
        </w:rPr>
        <w:t xml:space="preserve">, артериовенозные </w:t>
      </w:r>
      <w:proofErr w:type="spellStart"/>
      <w:r w:rsidRPr="00EF2E76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highlight w:val="lightGray"/>
          <w:bdr w:val="none" w:sz="0" w:space="0" w:color="auto" w:frame="1"/>
          <w:lang w:eastAsia="ru-RU"/>
        </w:rPr>
        <w:t>мальформации</w:t>
      </w:r>
      <w:proofErr w:type="spellEnd"/>
      <w:r w:rsidRPr="00EF2E76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highlight w:val="lightGray"/>
          <w:bdr w:val="none" w:sz="0" w:space="0" w:color="auto" w:frame="1"/>
          <w:lang w:eastAsia="ru-RU"/>
        </w:rPr>
        <w:t xml:space="preserve">, </w:t>
      </w:r>
      <w:r w:rsidR="00BD3488" w:rsidRPr="00EF2E76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highlight w:val="lightGray"/>
          <w:bdr w:val="none" w:sz="0" w:space="0" w:color="auto" w:frame="1"/>
          <w:lang w:eastAsia="ru-RU"/>
        </w:rPr>
        <w:t xml:space="preserve">гепатолентикулярная дегенерация, </w:t>
      </w:r>
      <w:proofErr w:type="spellStart"/>
      <w:r w:rsidR="00BD3488" w:rsidRPr="00EF2E76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highlight w:val="lightGray"/>
          <w:bdr w:val="none" w:sz="0" w:space="0" w:color="auto" w:frame="1"/>
          <w:lang w:eastAsia="ru-RU"/>
        </w:rPr>
        <w:t>ентропион</w:t>
      </w:r>
      <w:proofErr w:type="spellEnd"/>
      <w:r w:rsidR="00BD3488" w:rsidRPr="00EF2E76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highlight w:val="lightGray"/>
          <w:bdr w:val="none" w:sz="0" w:space="0" w:color="auto" w:frame="1"/>
          <w:lang w:eastAsia="ru-RU"/>
        </w:rPr>
        <w:t xml:space="preserve">, </w:t>
      </w:r>
      <w:proofErr w:type="spellStart"/>
      <w:r w:rsidR="00BD3488" w:rsidRPr="00EF2E76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highlight w:val="lightGray"/>
          <w:bdr w:val="none" w:sz="0" w:space="0" w:color="auto" w:frame="1"/>
          <w:lang w:eastAsia="ru-RU"/>
        </w:rPr>
        <w:t>ектропион</w:t>
      </w:r>
      <w:proofErr w:type="spellEnd"/>
      <w:r w:rsidR="00BD3488" w:rsidRPr="00EF2E76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highlight w:val="lightGray"/>
          <w:bdr w:val="none" w:sz="0" w:space="0" w:color="auto" w:frame="1"/>
          <w:lang w:eastAsia="ru-RU"/>
        </w:rPr>
        <w:t xml:space="preserve">, ишемический инсульт, иглорефлексотерапия, ксерофтальмия, кератит, корковая слепота, </w:t>
      </w:r>
      <w:proofErr w:type="spellStart"/>
      <w:r w:rsidR="00BD3488" w:rsidRPr="00EF2E76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highlight w:val="lightGray"/>
          <w:bdr w:val="none" w:sz="0" w:space="0" w:color="auto" w:frame="1"/>
          <w:lang w:eastAsia="ru-RU"/>
        </w:rPr>
        <w:t>мальформация</w:t>
      </w:r>
      <w:proofErr w:type="spellEnd"/>
      <w:r w:rsidR="00BD3488" w:rsidRPr="00EF2E76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highlight w:val="lightGray"/>
          <w:bdr w:val="none" w:sz="0" w:space="0" w:color="auto" w:frame="1"/>
          <w:lang w:eastAsia="ru-RU"/>
        </w:rPr>
        <w:t xml:space="preserve"> Арнольда-</w:t>
      </w:r>
      <w:proofErr w:type="spellStart"/>
      <w:r w:rsidR="00BD3488" w:rsidRPr="00EF2E76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highlight w:val="lightGray"/>
          <w:bdr w:val="none" w:sz="0" w:space="0" w:color="auto" w:frame="1"/>
          <w:lang w:eastAsia="ru-RU"/>
        </w:rPr>
        <w:t>Киари</w:t>
      </w:r>
      <w:proofErr w:type="spellEnd"/>
      <w:r w:rsidR="00BD3488" w:rsidRPr="00EF2E76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highlight w:val="lightGray"/>
          <w:bdr w:val="none" w:sz="0" w:space="0" w:color="auto" w:frame="1"/>
          <w:lang w:eastAsia="ru-RU"/>
        </w:rPr>
        <w:t xml:space="preserve">, </w:t>
      </w:r>
      <w:r w:rsidRPr="00EF2E76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highlight w:val="lightGray"/>
          <w:bdr w:val="none" w:sz="0" w:space="0" w:color="auto" w:frame="1"/>
          <w:lang w:eastAsia="ru-RU"/>
        </w:rPr>
        <w:t xml:space="preserve"> офтальмология, торсионная мышечная дистония</w:t>
      </w:r>
      <w:r w:rsidR="00BD3488" w:rsidRPr="00EF2E76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highlight w:val="lightGray"/>
          <w:bdr w:val="none" w:sz="0" w:space="0" w:color="auto" w:frame="1"/>
          <w:lang w:eastAsia="ru-RU"/>
        </w:rPr>
        <w:t xml:space="preserve">, </w:t>
      </w:r>
      <w:proofErr w:type="spellStart"/>
      <w:r w:rsidRPr="00EF2E76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highlight w:val="lightGray"/>
          <w:bdr w:val="none" w:sz="0" w:space="0" w:color="auto" w:frame="1"/>
          <w:lang w:eastAsia="ru-RU"/>
        </w:rPr>
        <w:t>гемифациальный</w:t>
      </w:r>
      <w:proofErr w:type="spellEnd"/>
      <w:r w:rsidRPr="00EF2E76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highlight w:val="lightGray"/>
          <w:bdr w:val="none" w:sz="0" w:space="0" w:color="auto" w:frame="1"/>
          <w:lang w:eastAsia="ru-RU"/>
        </w:rPr>
        <w:t xml:space="preserve"> спазм, синдром </w:t>
      </w:r>
      <w:proofErr w:type="spellStart"/>
      <w:r w:rsidRPr="00EF2E76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highlight w:val="lightGray"/>
          <w:bdr w:val="none" w:sz="0" w:space="0" w:color="auto" w:frame="1"/>
          <w:lang w:eastAsia="ru-RU"/>
        </w:rPr>
        <w:t>Турет</w:t>
      </w:r>
      <w:r w:rsidR="00BD3488" w:rsidRPr="00EF2E76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highlight w:val="lightGray"/>
          <w:bdr w:val="none" w:sz="0" w:space="0" w:color="auto" w:frame="1"/>
          <w:lang w:eastAsia="ru-RU"/>
        </w:rPr>
        <w:t>та</w:t>
      </w:r>
      <w:proofErr w:type="spellEnd"/>
      <w:r w:rsidR="00BD3488" w:rsidRPr="00EF2E76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highlight w:val="lightGray"/>
          <w:bdr w:val="none" w:sz="0" w:space="0" w:color="auto" w:frame="1"/>
          <w:lang w:eastAsia="ru-RU"/>
        </w:rPr>
        <w:t>, психотерапия.</w:t>
      </w:r>
      <w:r w:rsidR="00BD3488" w:rsidRPr="00EF2E76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D350DB" w:rsidRPr="00EF2E76" w:rsidRDefault="00D350DB" w:rsidP="00EF2E76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6D68"/>
          <w:kern w:val="36"/>
          <w:sz w:val="24"/>
          <w:szCs w:val="24"/>
          <w:bdr w:val="none" w:sz="0" w:space="0" w:color="auto" w:frame="1"/>
          <w:lang w:eastAsia="ru-RU"/>
        </w:rPr>
      </w:pPr>
    </w:p>
    <w:p w:rsidR="00EF2E76" w:rsidRPr="00EF2E76" w:rsidRDefault="00EF2E76" w:rsidP="00EF2E76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24"/>
          <w:bdr w:val="none" w:sz="0" w:space="0" w:color="auto" w:frame="1"/>
          <w:lang w:eastAsia="ru-RU"/>
        </w:rPr>
      </w:pPr>
      <w:r w:rsidRPr="00EF2E76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24"/>
          <w:highlight w:val="green"/>
          <w:bdr w:val="none" w:sz="0" w:space="0" w:color="auto" w:frame="1"/>
          <w:lang w:eastAsia="ru-RU"/>
        </w:rPr>
        <w:t>Результат</w:t>
      </w:r>
    </w:p>
    <w:p w:rsidR="00D350DB" w:rsidRPr="00EF2E76" w:rsidRDefault="00D350DB" w:rsidP="00EF2E76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</w:p>
    <w:p w:rsidR="00E824C8" w:rsidRPr="00EF2E76" w:rsidRDefault="00E824C8" w:rsidP="00EF2E76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color w:val="36AFA8"/>
          <w:sz w:val="24"/>
          <w:szCs w:val="24"/>
        </w:rPr>
      </w:pPr>
      <w:r w:rsidRPr="00EF2E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Б</w:t>
      </w:r>
      <w:r w:rsidR="009F507E" w:rsidRPr="00EF2E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лефароспазм</w:t>
      </w:r>
      <w:r w:rsidR="009F507E" w:rsidRPr="00E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двухсторонний непроизвольный спазм круговой мышцы глаза, который может сопровождаться спонтанными </w:t>
      </w:r>
      <w:proofErr w:type="spellStart"/>
      <w:r w:rsidR="009F507E" w:rsidRPr="00E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клонико</w:t>
      </w:r>
      <w:proofErr w:type="spellEnd"/>
      <w:r w:rsidR="009F507E" w:rsidRPr="00E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-тоническими сокращениями грудинно-ключично-сосцевидных мышц. Клиническая симптоматика представлена учащенным морганием, спастическим смыканием глазной щели, повышенным слезотечением, ощущением «песка» в глазах, жжением. Для постановки диагноза применяется МРТ, </w:t>
      </w:r>
      <w:proofErr w:type="spellStart"/>
      <w:r w:rsidR="009F507E" w:rsidRPr="00E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реоэнцефалография</w:t>
      </w:r>
      <w:proofErr w:type="spellEnd"/>
      <w:r w:rsidR="009F507E" w:rsidRPr="00E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9F507E" w:rsidRPr="00E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биомикроскопия</w:t>
      </w:r>
      <w:proofErr w:type="spellEnd"/>
      <w:r w:rsidR="009F507E" w:rsidRPr="00E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9F507E" w:rsidRPr="00E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визометрия</w:t>
      </w:r>
      <w:proofErr w:type="spellEnd"/>
      <w:r w:rsidR="009F507E" w:rsidRPr="00E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электроэнцефалография. Консервативная терапия включает инъекции </w:t>
      </w:r>
      <w:proofErr w:type="spellStart"/>
      <w:r w:rsidR="009F507E" w:rsidRPr="00E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ботулотоксина</w:t>
      </w:r>
      <w:proofErr w:type="spellEnd"/>
      <w:r w:rsidR="009F507E" w:rsidRPr="00E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пероральный прием </w:t>
      </w:r>
      <w:proofErr w:type="spellStart"/>
      <w:r w:rsidR="009F507E" w:rsidRPr="00E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бензодиазепинов</w:t>
      </w:r>
      <w:proofErr w:type="spellEnd"/>
      <w:r w:rsidR="009F507E" w:rsidRPr="00E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9F507E" w:rsidRPr="00E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холинолитиков</w:t>
      </w:r>
      <w:proofErr w:type="spellEnd"/>
      <w:r w:rsidR="009F507E" w:rsidRPr="00E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инстилляции увлажняющих средств. При низкой эффективности показана </w:t>
      </w:r>
      <w:proofErr w:type="spellStart"/>
      <w:r w:rsidR="009F507E" w:rsidRPr="00E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блефаропластика</w:t>
      </w:r>
      <w:proofErr w:type="spellEnd"/>
      <w:r w:rsidR="009F507E" w:rsidRPr="00E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44DB6" w:rsidRPr="00EF2E76">
        <w:rPr>
          <w:rFonts w:ascii="Times New Roman" w:hAnsi="Times New Roman" w:cs="Times New Roman"/>
          <w:b/>
          <w:bCs/>
          <w:color w:val="36AFA8"/>
          <w:sz w:val="24"/>
          <w:szCs w:val="24"/>
        </w:rPr>
        <w:t xml:space="preserve"> </w:t>
      </w:r>
    </w:p>
    <w:p w:rsidR="00D350DB" w:rsidRPr="00EF2E76" w:rsidRDefault="00D350DB" w:rsidP="00EF2E76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color w:val="36AFA8"/>
          <w:sz w:val="24"/>
          <w:szCs w:val="24"/>
        </w:rPr>
      </w:pPr>
    </w:p>
    <w:p w:rsidR="00644DB6" w:rsidRPr="00EF2E76" w:rsidRDefault="00644DB6" w:rsidP="00EF2E76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b/>
          <w:color w:val="36AFA8"/>
          <w:sz w:val="24"/>
          <w:szCs w:val="24"/>
        </w:rPr>
      </w:pPr>
      <w:r w:rsidRPr="00EF2E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Общие сведения</w:t>
      </w:r>
    </w:p>
    <w:p w:rsidR="00D350DB" w:rsidRPr="00EF2E76" w:rsidRDefault="00D350DB" w:rsidP="00EF2E76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4DB6" w:rsidRPr="00EF2E76" w:rsidRDefault="00644DB6" w:rsidP="00EF2E76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Идиопатический блефа</w:t>
      </w:r>
      <w:r w:rsidR="00E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роспазм принято рассматривать в офтальмологии</w:t>
      </w:r>
      <w:r w:rsidR="00EF2E76">
        <w:rPr>
          <w:rFonts w:ascii="Times New Roman" w:eastAsia="Times New Roman" w:hAnsi="Times New Roman" w:cs="Times New Roman"/>
          <w:color w:val="0660DD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Pr="00E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один из вариантов краниальной мышечной дистонии. Распространенность первичной формы заболевания в США составляет 40:100 000 населения, в европейских странах – 15:100 000. 45% больных отмечают, что выраженность симптоматики кратковременно снижается после приема спиртных напитков. 93% пациентов прибегают к применению корригирующих жестов (закрывание глаза, прищуривание, компрессия века) для купирования или профилактики развития приступа. Первые клинические проявления возникают у лиц среднего и пожилого возраста. У лиц женского пола заболевание диагностируют в 3 раза чаще, чем у мужчин.</w:t>
      </w:r>
    </w:p>
    <w:p w:rsidR="00D350DB" w:rsidRPr="00EF2E76" w:rsidRDefault="00D350DB" w:rsidP="00EF2E76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2E76" w:rsidRDefault="00EF2E76" w:rsidP="00EF2E76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bookmarkStart w:id="0" w:name="h2_1"/>
      <w:bookmarkEnd w:id="0"/>
    </w:p>
    <w:p w:rsidR="00EF2E76" w:rsidRDefault="00EF2E76" w:rsidP="00EF2E76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44DB6" w:rsidRPr="00EF2E76" w:rsidRDefault="00644DB6" w:rsidP="00EF2E76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F2E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Причины идиопатического блефароспазма</w:t>
      </w:r>
    </w:p>
    <w:p w:rsidR="00D350DB" w:rsidRPr="00EF2E76" w:rsidRDefault="00D350DB" w:rsidP="00EF2E76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44DB6" w:rsidRPr="00EF2E76" w:rsidRDefault="00644DB6" w:rsidP="00EF2E76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большинстве случаев заболевание развивается спорадически, однако установлено, что первичный блефароспазм может наследоваться по аутосомно-доминантному типу. В основе лежит мутация генов 9q34, 18q. При поражении генов Xq13 Xp22 удается установить Х-сцепленный тип наследования. Факторами риска развития вторичной формы заболевания выступают:</w:t>
      </w:r>
    </w:p>
    <w:p w:rsidR="00644DB6" w:rsidRPr="00EF2E76" w:rsidRDefault="00644DB6" w:rsidP="00EF2E76">
      <w:pPr>
        <w:numPr>
          <w:ilvl w:val="0"/>
          <w:numId w:val="6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E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Ишемические поражения головного мозга</w:t>
      </w:r>
      <w:r w:rsidRPr="00E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Наиболее расп</w:t>
      </w:r>
      <w:r w:rsidR="00E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ространенные причины – инфаркт (ишемический инсульт</w:t>
      </w:r>
      <w:r w:rsidRPr="00E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 локализацией в левой лобной доле и двухстороннее поражение таламуса.</w:t>
      </w:r>
    </w:p>
    <w:p w:rsidR="00644DB6" w:rsidRPr="00EF2E76" w:rsidRDefault="00644DB6" w:rsidP="00EF2E76">
      <w:pPr>
        <w:numPr>
          <w:ilvl w:val="0"/>
          <w:numId w:val="6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E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Медикаментозное воздействие</w:t>
      </w:r>
      <w:r w:rsidRPr="00E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Длительный прием лекарственных средств из группы нейролептиков, антидепрессантов, </w:t>
      </w:r>
      <w:proofErr w:type="spellStart"/>
      <w:r w:rsidRPr="00E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противопаркинсонических</w:t>
      </w:r>
      <w:proofErr w:type="spellEnd"/>
      <w:r w:rsidRPr="00E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антипсихотических препаратов в ряде случаев осложняется блефароспазмом.</w:t>
      </w:r>
    </w:p>
    <w:p w:rsidR="00644DB6" w:rsidRPr="00EF2E76" w:rsidRDefault="00644DB6" w:rsidP="00EF2E76">
      <w:pPr>
        <w:numPr>
          <w:ilvl w:val="0"/>
          <w:numId w:val="6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E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Краниальные </w:t>
      </w:r>
      <w:proofErr w:type="spellStart"/>
      <w:r w:rsidRPr="00EF2E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синкинезии</w:t>
      </w:r>
      <w:proofErr w:type="spellEnd"/>
      <w:r w:rsidRPr="00E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Спазм век часто обусловлен перинатальной </w:t>
      </w:r>
      <w:proofErr w:type="spellStart"/>
      <w:proofErr w:type="gramStart"/>
      <w:r w:rsidRPr="00E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патологией,</w:t>
      </w:r>
      <w:r w:rsidR="00E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гепатолентикулярной</w:t>
      </w:r>
      <w:proofErr w:type="spellEnd"/>
      <w:proofErr w:type="gramEnd"/>
      <w:r w:rsidR="00E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дегенерацией</w:t>
      </w:r>
      <w:r w:rsidR="00EF2E76" w:rsidRPr="00E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даже</w:t>
      </w:r>
      <w:r w:rsidR="00E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мальформацией</w:t>
      </w:r>
      <w:proofErr w:type="spellEnd"/>
      <w:r w:rsidR="00E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Арнольда – </w:t>
      </w:r>
      <w:proofErr w:type="spellStart"/>
      <w:r w:rsidR="00E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Киари</w:t>
      </w:r>
      <w:proofErr w:type="spellEnd"/>
      <w:r w:rsidR="00E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44DB6" w:rsidRPr="00EF2E76" w:rsidRDefault="00644DB6" w:rsidP="00EF2E76">
      <w:pPr>
        <w:numPr>
          <w:ilvl w:val="0"/>
          <w:numId w:val="6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F2E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Митохондропатии</w:t>
      </w:r>
      <w:proofErr w:type="spellEnd"/>
      <w:r w:rsidRPr="00E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 данной группе заболеваний нарушается процесс окислительного </w:t>
      </w:r>
      <w:proofErr w:type="spellStart"/>
      <w:r w:rsidRPr="00E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фосфорилирования</w:t>
      </w:r>
      <w:proofErr w:type="spellEnd"/>
      <w:r w:rsidRPr="00E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часто приводит к спастическим подергиваниям мышечных волокон.</w:t>
      </w:r>
    </w:p>
    <w:p w:rsidR="00D350DB" w:rsidRPr="00EF2E76" w:rsidRDefault="00D350DB" w:rsidP="00EF2E76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4DB6" w:rsidRPr="00EF2E76" w:rsidRDefault="00644DB6" w:rsidP="00EF2E76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bookmarkStart w:id="1" w:name="h2_4"/>
      <w:bookmarkEnd w:id="1"/>
      <w:r w:rsidRPr="00EF2E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Патогенез</w:t>
      </w:r>
    </w:p>
    <w:p w:rsidR="00D350DB" w:rsidRPr="00EF2E76" w:rsidRDefault="00D350DB" w:rsidP="00EF2E76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44DB6" w:rsidRPr="00EF2E76" w:rsidRDefault="00644DB6" w:rsidP="00EF2E76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основе механизма развития лежит гиперреактивность </w:t>
      </w:r>
      <w:proofErr w:type="spellStart"/>
      <w:r w:rsidRPr="00E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периокулярных</w:t>
      </w:r>
      <w:proofErr w:type="spellEnd"/>
      <w:r w:rsidRPr="00E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мышц, обусловленная краниальной формой мышечной дистонии. Ученые полагают, что при данной патологии поражаются базальные ганглии. При этом нарушается прохождение импульса от ядер к структурам ствола мозга, мозжечка и </w:t>
      </w:r>
      <w:proofErr w:type="spellStart"/>
      <w:r w:rsidRPr="00E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премоторной</w:t>
      </w:r>
      <w:proofErr w:type="spellEnd"/>
      <w:r w:rsidRPr="00E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коры. В патофизиологическом процессе задействованы </w:t>
      </w:r>
      <w:proofErr w:type="spellStart"/>
      <w:r w:rsidRPr="00E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дофаминергические</w:t>
      </w:r>
      <w:proofErr w:type="spellEnd"/>
      <w:r w:rsidRPr="00E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холинергические системы. Нарушение в работе </w:t>
      </w:r>
      <w:proofErr w:type="spellStart"/>
      <w:r w:rsidRPr="00E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премоторной</w:t>
      </w:r>
      <w:proofErr w:type="spellEnd"/>
      <w:r w:rsidRPr="00E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коры приводит к дисфункции интегративных процессов двигательного контроля, что проявляется недостаточным реципрокным торможением мышц-антагонистов.</w:t>
      </w:r>
    </w:p>
    <w:p w:rsidR="00644DB6" w:rsidRPr="00EF2E76" w:rsidRDefault="00644DB6" w:rsidP="00EF2E76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снижении остроты зрения часто выявляется сопутствующее поражение таламуса, приводящее к замедлению прохождения импульса из </w:t>
      </w:r>
      <w:proofErr w:type="spellStart"/>
      <w:r w:rsidRPr="00E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стриопаллидарного</w:t>
      </w:r>
      <w:proofErr w:type="spellEnd"/>
      <w:r w:rsidRPr="00E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комплекса к коре. Некорректное модулирование моторной программы потенцирует развитие клиники спастического сокращения век. Экспериментальным путем доказано, что важную роль в патогенезе играет нарушение метаболизма глюкозы. Согласно </w:t>
      </w:r>
      <w:proofErr w:type="gramStart"/>
      <w:r w:rsidRPr="00E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результатам</w:t>
      </w:r>
      <w:proofErr w:type="gramEnd"/>
      <w:r w:rsidRPr="00E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протонной МР-спектроскопии, у пациентов отмечается снижение N-</w:t>
      </w:r>
      <w:proofErr w:type="spellStart"/>
      <w:r w:rsidRPr="00E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ацетиласпартата</w:t>
      </w:r>
      <w:proofErr w:type="spellEnd"/>
      <w:r w:rsidRPr="00E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креатинфосфокиназы</w:t>
      </w:r>
      <w:proofErr w:type="spellEnd"/>
      <w:r w:rsidRPr="00E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Нарушение </w:t>
      </w:r>
      <w:proofErr w:type="spellStart"/>
      <w:r w:rsidRPr="00E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афферентации</w:t>
      </w:r>
      <w:proofErr w:type="spellEnd"/>
      <w:r w:rsidRPr="00E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лишь изменения в первичном звене патогенеза. Прогрессирование патологии связано с развитием вторичных осложнений.</w:t>
      </w:r>
    </w:p>
    <w:p w:rsidR="00D350DB" w:rsidRPr="00EF2E76" w:rsidRDefault="00D350DB" w:rsidP="00EF2E76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4DB6" w:rsidRPr="00EF2E76" w:rsidRDefault="00644DB6" w:rsidP="00EF2E76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color w:val="36AFA8"/>
          <w:sz w:val="24"/>
          <w:szCs w:val="24"/>
          <w:lang w:eastAsia="ru-RU"/>
        </w:rPr>
      </w:pPr>
      <w:bookmarkStart w:id="2" w:name="h2_7"/>
      <w:bookmarkEnd w:id="2"/>
      <w:r w:rsidRPr="00EF2E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Классификация</w:t>
      </w:r>
    </w:p>
    <w:p w:rsidR="00D350DB" w:rsidRPr="00EF2E76" w:rsidRDefault="00D350DB" w:rsidP="00EF2E76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color w:val="36AFA8"/>
          <w:sz w:val="24"/>
          <w:szCs w:val="24"/>
          <w:lang w:eastAsia="ru-RU"/>
        </w:rPr>
      </w:pPr>
    </w:p>
    <w:p w:rsidR="00644DB6" w:rsidRPr="00EF2E76" w:rsidRDefault="00644DB6" w:rsidP="00EF2E76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Идиопатический блефароспазм чаще имеет приобретенный характер, редко наблюдается врожденный вариант. Вне зависимости от типа заболевания симптоматика дебютирует после 40 лет. Выделяют следующие формы:</w:t>
      </w:r>
    </w:p>
    <w:p w:rsidR="00644DB6" w:rsidRPr="00EF2E76" w:rsidRDefault="00644DB6" w:rsidP="00EF2E76">
      <w:pPr>
        <w:numPr>
          <w:ilvl w:val="0"/>
          <w:numId w:val="7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E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Первичная</w:t>
      </w:r>
      <w:r w:rsidRPr="00E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Блефароспазм представляет собой локальное проявление</w:t>
      </w:r>
      <w:r w:rsidR="00E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торсионной мышечной дистонии</w:t>
      </w:r>
      <w:r w:rsidRPr="00E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единственным симптомом – спазмом волокон круговой мышцы.</w:t>
      </w:r>
    </w:p>
    <w:p w:rsidR="00644DB6" w:rsidRPr="00EF2E76" w:rsidRDefault="00644DB6" w:rsidP="00EF2E76">
      <w:pPr>
        <w:numPr>
          <w:ilvl w:val="0"/>
          <w:numId w:val="7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E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Вторичная</w:t>
      </w:r>
      <w:r w:rsidRPr="00E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Появление тонико-клонических сокращений вызвано органическим поражением структур головного мозга или нарушением кровоснабжения.</w:t>
      </w:r>
    </w:p>
    <w:p w:rsidR="00644DB6" w:rsidRPr="00EF2E76" w:rsidRDefault="00644DB6" w:rsidP="00EF2E76">
      <w:pPr>
        <w:numPr>
          <w:ilvl w:val="0"/>
          <w:numId w:val="7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E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Синдром апраксии открытия век</w:t>
      </w:r>
      <w:r w:rsidRPr="00E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Затрудненный процесс размыкания глазной щели обусловлен гипофункцией </w:t>
      </w:r>
      <w:r w:rsidR="00EF2E76" w:rsidRPr="00E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мышцы,</w:t>
      </w:r>
      <w:r w:rsidRPr="00E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поднимающей верхнее веко.</w:t>
      </w:r>
    </w:p>
    <w:p w:rsidR="00D350DB" w:rsidRPr="00EF2E76" w:rsidRDefault="00D350DB" w:rsidP="00EF2E76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4DB6" w:rsidRPr="00EF2E76" w:rsidRDefault="00644DB6" w:rsidP="00EF2E76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bookmarkStart w:id="3" w:name="h2_10"/>
      <w:bookmarkEnd w:id="3"/>
      <w:r w:rsidRPr="00EF2E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Симптомы идиопатического блефароспазма</w:t>
      </w:r>
    </w:p>
    <w:p w:rsidR="00D350DB" w:rsidRPr="00EF2E76" w:rsidRDefault="00D350DB" w:rsidP="00EF2E76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color w:val="36AFA8"/>
          <w:sz w:val="24"/>
          <w:szCs w:val="24"/>
          <w:lang w:eastAsia="ru-RU"/>
        </w:rPr>
      </w:pPr>
    </w:p>
    <w:p w:rsidR="00644DB6" w:rsidRPr="00EF2E76" w:rsidRDefault="00644DB6" w:rsidP="00EF2E76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Первое проявление заболевания – маловыраженное подергивание век, которое со временем сменяется непроизвольным зажмуриванием глаз. Развитию клинической картины нередко предшествует учащенное моргание, прищуривание, самопроизвольное опускание века без спастического компонента. Сенсорные нарушения включают</w:t>
      </w:r>
      <w:r w:rsidR="00D350DB" w:rsidRPr="00E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дискомфорта, ощущение инородного тела</w:t>
      </w:r>
      <w:r w:rsidRPr="00E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глазнице, жжение. Лица, страдающие данной патологией, долго не обращаются за помощью к специалисту, связывая данную симптоматику со светобоязнью. Прогрессирование болезни ведет к появлению стабильных тонических или тонико-клонических спазмов. Пациенты предъявляют жалобы на стойкое смыкание век. Самостоятельно разомкнуть глазную щель не удается.</w:t>
      </w:r>
    </w:p>
    <w:p w:rsidR="00644DB6" w:rsidRPr="00EF2E76" w:rsidRDefault="00644DB6" w:rsidP="00EF2E76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Больные не могут предвидеть, когда возникнет следующий приступ. Средняя длительность спастического сокращения составляет 3-5 минут. В межприступный период общее состояние не нарушено. На начальных стадиях патология поддается волевому контролю. Как правило, поражаются оба глаза, однако степень выраженности симптомов на правом и левом глазу может незначительно различаться. Со временем в процесс вовлекаются мышцы нижней половины лица и шеи. Возникает повышенное слезотечение, сухость глаз. Зрительной дисфункции не наблюдается. Реакция зрачков на свет сохранена.</w:t>
      </w:r>
    </w:p>
    <w:p w:rsidR="00644DB6" w:rsidRPr="00EF2E76" w:rsidRDefault="00644DB6" w:rsidP="00EF2E76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 тяжелом течении существенно снижается качество жизни больного, иногда – вплоть до невозможности самостоятельного передвижения. Пациенты отмечают, что болезнь значительно затрудняет повседневную активность (чтение книг, шитье, работу за компьютером). Симптомы часто возникают в самый неудобный момент (при вождении автомобиля, переходе дороги), но отсутствуют во время сна. Выраженность клинических проявлений снижается после длительного отдыха и усиливается при попытке фиксации взгляда, в стрессовых ситуациях. Спонтанные ремиссии отсутствуют.</w:t>
      </w:r>
    </w:p>
    <w:p w:rsidR="00D350DB" w:rsidRPr="00EF2E76" w:rsidRDefault="00D350DB" w:rsidP="00EF2E76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4DB6" w:rsidRPr="00EF2E76" w:rsidRDefault="00644DB6" w:rsidP="00EF2E76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bookmarkStart w:id="4" w:name="h2_14"/>
      <w:bookmarkEnd w:id="4"/>
      <w:r w:rsidRPr="00EF2E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Осложнения</w:t>
      </w:r>
    </w:p>
    <w:p w:rsidR="00D350DB" w:rsidRPr="00EF2E76" w:rsidRDefault="00D350DB" w:rsidP="00EF2E76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color w:val="36AFA8"/>
          <w:sz w:val="24"/>
          <w:szCs w:val="24"/>
          <w:lang w:eastAsia="ru-RU"/>
        </w:rPr>
      </w:pPr>
    </w:p>
    <w:p w:rsidR="00644DB6" w:rsidRPr="00EF2E76" w:rsidRDefault="00644DB6" w:rsidP="00EF2E76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Гипертрофия мышц приводит к возникновению</w:t>
      </w:r>
      <w:r w:rsidR="00E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энтропиона</w:t>
      </w:r>
      <w:r w:rsidRPr="00E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реже –</w:t>
      </w:r>
      <w:r w:rsidR="00E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эктопиона</w:t>
      </w:r>
      <w:proofErr w:type="spellEnd"/>
      <w:r w:rsidRPr="00E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Поражение мышечных волокон языка, гортани, шеи, мимических и жевательных мышц осложняется </w:t>
      </w:r>
      <w:proofErr w:type="spellStart"/>
      <w:r w:rsidRPr="00E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оромандибулярной</w:t>
      </w:r>
      <w:proofErr w:type="spellEnd"/>
      <w:r w:rsidRPr="00E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дистонией. Из-за продолжительного спазма развивается головная боль напряжения. Повышенная сухость оболочек переднего сегмента глазного яблока ведет к</w:t>
      </w:r>
      <w:r w:rsidR="00E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ксерофтальмии</w:t>
      </w:r>
      <w:r w:rsidRPr="00E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 пациентов с данной патологией в анамнезе </w:t>
      </w:r>
      <w:proofErr w:type="spellStart"/>
      <w:r w:rsidRPr="00E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гипертонус</w:t>
      </w:r>
      <w:proofErr w:type="spellEnd"/>
      <w:r w:rsidRPr="00E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симпатической нервной системы влечет за собой повышение артериального давления, частоты сердечных сокращений. Образование эрозивных дефектов на поверхности роговицы приводит к присоединению бактериального или инфекционного</w:t>
      </w:r>
      <w:r w:rsidR="00E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кератита</w:t>
      </w:r>
      <w:r w:rsidRPr="00E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350DB" w:rsidRPr="00EF2E76" w:rsidRDefault="00D350DB" w:rsidP="00EF2E76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color w:val="36AFA8"/>
          <w:sz w:val="24"/>
          <w:szCs w:val="24"/>
          <w:lang w:eastAsia="ru-RU"/>
        </w:rPr>
      </w:pPr>
      <w:bookmarkStart w:id="5" w:name="h2_16"/>
      <w:bookmarkEnd w:id="5"/>
    </w:p>
    <w:p w:rsidR="00644DB6" w:rsidRPr="00EF2E76" w:rsidRDefault="00644DB6" w:rsidP="00EF2E76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F2E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Диагностика</w:t>
      </w:r>
    </w:p>
    <w:p w:rsidR="00D350DB" w:rsidRPr="00EF2E76" w:rsidRDefault="00D350DB" w:rsidP="00EF2E76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color w:val="36AFA8"/>
          <w:sz w:val="24"/>
          <w:szCs w:val="24"/>
          <w:lang w:eastAsia="ru-RU"/>
        </w:rPr>
      </w:pPr>
    </w:p>
    <w:p w:rsidR="00644DB6" w:rsidRPr="00EF2E76" w:rsidRDefault="00644DB6" w:rsidP="00EF2E76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верификации диагноза проводится сбор анамнеза, </w:t>
      </w:r>
      <w:proofErr w:type="spellStart"/>
      <w:r w:rsidRPr="00E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физикальное</w:t>
      </w:r>
      <w:proofErr w:type="spellEnd"/>
      <w:r w:rsidRPr="00E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специальное офтальмологическое обследование. Изучаются критерии </w:t>
      </w:r>
      <w:proofErr w:type="spellStart"/>
      <w:r w:rsidRPr="00E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Харрисона</w:t>
      </w:r>
      <w:proofErr w:type="spellEnd"/>
      <w:r w:rsidRPr="00E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(особенности родов и развития, сопутствующая неврологическая симптоматика, результаты лабораторных и инструментальных исследований). В ходе диагностики применяются:</w:t>
      </w:r>
    </w:p>
    <w:p w:rsidR="00644DB6" w:rsidRPr="00EF2E76" w:rsidRDefault="00EF2E76" w:rsidP="00EF2E76">
      <w:pPr>
        <w:numPr>
          <w:ilvl w:val="0"/>
          <w:numId w:val="8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" w:history="1">
        <w:r w:rsidR="00644DB6" w:rsidRPr="00EF2E76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МРТ головы</w:t>
        </w:r>
      </w:hyperlink>
      <w:r w:rsidR="00644DB6" w:rsidRPr="00E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Магниторезонансная томография проводится для визуализации структуры мозговых оболочек, </w:t>
      </w:r>
      <w:proofErr w:type="spellStart"/>
      <w:r w:rsidR="00644DB6" w:rsidRPr="00E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интракраниальных</w:t>
      </w:r>
      <w:proofErr w:type="spellEnd"/>
      <w:r w:rsidR="00644DB6" w:rsidRPr="00E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сосудов у больных с подозрением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артериовенозные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мальформации</w:t>
      </w:r>
      <w:proofErr w:type="spellEnd"/>
      <w:r w:rsidR="00644DB6" w:rsidRPr="00E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44DB6" w:rsidRPr="00EF2E76" w:rsidRDefault="00EF2E76" w:rsidP="00EF2E76">
      <w:pPr>
        <w:numPr>
          <w:ilvl w:val="0"/>
          <w:numId w:val="8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" w:history="1">
        <w:proofErr w:type="spellStart"/>
        <w:r w:rsidR="00644DB6" w:rsidRPr="00EF2E76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Реоэнцефалография</w:t>
        </w:r>
        <w:proofErr w:type="spellEnd"/>
      </w:hyperlink>
      <w:r w:rsidR="00644DB6" w:rsidRPr="00E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Диагностика кровенаполнения сосудов головы и шеи информативна для оценки характера венозного оттока. При снижении показателей РЭГ можно предположить, что в основе болезни лежат поражения ишемической природы.</w:t>
      </w:r>
    </w:p>
    <w:p w:rsidR="00644DB6" w:rsidRPr="00EF2E76" w:rsidRDefault="00EF2E76" w:rsidP="00EF2E76">
      <w:pPr>
        <w:numPr>
          <w:ilvl w:val="0"/>
          <w:numId w:val="8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" w:history="1">
        <w:r w:rsidR="00644DB6" w:rsidRPr="00EF2E76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Электроэнцефалография</w:t>
        </w:r>
      </w:hyperlink>
      <w:r w:rsidR="00644DB6" w:rsidRPr="00EF2E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644DB6" w:rsidRPr="00E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Регистрация биоэлектрических сигналов, которые исходят от нервных клеток, позволяет оценить степень функциональной активности мозга.</w:t>
      </w:r>
    </w:p>
    <w:p w:rsidR="00644DB6" w:rsidRPr="00EF2E76" w:rsidRDefault="00EF2E76" w:rsidP="00EF2E76">
      <w:pPr>
        <w:numPr>
          <w:ilvl w:val="0"/>
          <w:numId w:val="8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" w:history="1">
        <w:proofErr w:type="spellStart"/>
        <w:r w:rsidR="00644DB6" w:rsidRPr="00EF2E76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Биомикроскопия</w:t>
        </w:r>
        <w:proofErr w:type="spellEnd"/>
        <w:r w:rsidR="00644DB6" w:rsidRPr="00EF2E76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глаза</w:t>
        </w:r>
      </w:hyperlink>
      <w:r w:rsidR="00644DB6" w:rsidRPr="00E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Исследование дает возможность выявить вторичные поражения роговицы глаза, проявляющиеся дегенеративно-дистрофическими изменениями, формированием участков изъязвления на оболочке.</w:t>
      </w:r>
    </w:p>
    <w:p w:rsidR="00644DB6" w:rsidRPr="00EF2E76" w:rsidRDefault="00EF2E76" w:rsidP="00EF2E76">
      <w:pPr>
        <w:numPr>
          <w:ilvl w:val="0"/>
          <w:numId w:val="8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9" w:history="1">
        <w:r w:rsidR="00644DB6" w:rsidRPr="00EF2E76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Офтальмоскопия</w:t>
        </w:r>
      </w:hyperlink>
      <w:r w:rsidR="00644DB6" w:rsidRPr="00EF2E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 </w:t>
      </w:r>
      <w:r w:rsidR="00644DB6" w:rsidRPr="00E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Применяется для изучения состояния сетчатки и диска зрительного нерва (ДЗН). Выраженный спазм может потенцировать нарушение оттока крови с последующим застоем и образованием мелкоочаговых геморрагий. ДЗН без изменений.</w:t>
      </w:r>
    </w:p>
    <w:p w:rsidR="00644DB6" w:rsidRPr="00EF2E76" w:rsidRDefault="00EF2E76" w:rsidP="00EF2E76">
      <w:pPr>
        <w:numPr>
          <w:ilvl w:val="0"/>
          <w:numId w:val="8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0" w:history="1">
        <w:proofErr w:type="spellStart"/>
        <w:r w:rsidR="00644DB6" w:rsidRPr="00EF2E76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Визометрия</w:t>
        </w:r>
        <w:proofErr w:type="spellEnd"/>
      </w:hyperlink>
      <w:r w:rsidR="00644DB6" w:rsidRPr="00EF2E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644DB6" w:rsidRPr="00E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Острота зрения нарушается только при распространении патологического процесса на таламус, что проявляется клиникой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корковой слепоты</w:t>
      </w:r>
      <w:r w:rsidR="00644DB6" w:rsidRPr="00E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44DB6" w:rsidRPr="00EF2E76" w:rsidRDefault="00644DB6" w:rsidP="00EF2E76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</w:t>
      </w:r>
      <w:r w:rsidR="00E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иальная диагностика проводится с </w:t>
      </w:r>
      <w:proofErr w:type="spellStart"/>
      <w:r w:rsidR="00E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гемифациальным</w:t>
      </w:r>
      <w:proofErr w:type="spellEnd"/>
      <w:r w:rsidR="00E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спазмом</w:t>
      </w:r>
      <w:r w:rsidRPr="00E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миокимией</w:t>
      </w:r>
      <w:proofErr w:type="spellEnd"/>
      <w:r w:rsidRPr="00E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синдромом </w:t>
      </w:r>
      <w:proofErr w:type="spellStart"/>
      <w:r w:rsidR="00E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Туретта</w:t>
      </w:r>
      <w:proofErr w:type="spellEnd"/>
      <w:r w:rsidRPr="00E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отличие от идиопатического блефароспазма симптомы при </w:t>
      </w:r>
      <w:proofErr w:type="spellStart"/>
      <w:r w:rsidRPr="00E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гемифациальном</w:t>
      </w:r>
      <w:proofErr w:type="spellEnd"/>
      <w:r w:rsidRPr="00E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спазме могут возникать во время сна, зачастую обусловлены параличом 7 пары черепно-мозговых нервов. При </w:t>
      </w:r>
      <w:proofErr w:type="spellStart"/>
      <w:r w:rsidRPr="00E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миокимии</w:t>
      </w:r>
      <w:proofErr w:type="spellEnd"/>
      <w:r w:rsidRPr="00E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судорожные подергивания появляются на фоне стресса или механического раздражения орбитальной конъюнктивы. Процесс односторонний, чаще поражает нижнее веко. Синдром </w:t>
      </w:r>
      <w:proofErr w:type="spellStart"/>
      <w:r w:rsidRPr="00E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Туретта</w:t>
      </w:r>
      <w:proofErr w:type="spellEnd"/>
      <w:r w:rsidRPr="00E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характеризуется множественными непроизвольными моторными тиками, которые сопровождаются воспроизведением странных звуков и оскорбительных высказываний.</w:t>
      </w:r>
    </w:p>
    <w:p w:rsidR="00D350DB" w:rsidRPr="00EF2E76" w:rsidRDefault="00D350DB" w:rsidP="00EF2E76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4DB6" w:rsidRPr="00EF2E76" w:rsidRDefault="00644DB6" w:rsidP="00EF2E76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bookmarkStart w:id="6" w:name="h2_20"/>
      <w:bookmarkEnd w:id="6"/>
      <w:r w:rsidRPr="00EF2E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Лечение идиопатического блефароспазма</w:t>
      </w:r>
    </w:p>
    <w:p w:rsidR="00D350DB" w:rsidRPr="00EF2E76" w:rsidRDefault="00D350DB" w:rsidP="00EF2E76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color w:val="36AFA8"/>
          <w:sz w:val="24"/>
          <w:szCs w:val="24"/>
          <w:lang w:eastAsia="ru-RU"/>
        </w:rPr>
      </w:pPr>
    </w:p>
    <w:p w:rsidR="00644DB6" w:rsidRPr="00EF2E76" w:rsidRDefault="00644DB6" w:rsidP="00EF2E76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Тактика ведения пациента зависит от выраженности симптомов и частоты возникновения приступов. На ранних стадиях возможно применение</w:t>
      </w:r>
      <w:r w:rsidR="00E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психотерапии</w:t>
      </w:r>
      <w:r w:rsidRPr="00E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иглорефлексотерапии</w:t>
      </w:r>
      <w:bookmarkStart w:id="7" w:name="_GoBack"/>
      <w:bookmarkEnd w:id="7"/>
      <w:r w:rsidRPr="00E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качестве консервативной терапии используется:</w:t>
      </w:r>
    </w:p>
    <w:p w:rsidR="00644DB6" w:rsidRPr="00EF2E76" w:rsidRDefault="00644DB6" w:rsidP="00EF2E76">
      <w:pPr>
        <w:numPr>
          <w:ilvl w:val="0"/>
          <w:numId w:val="9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E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Ботулинический </w:t>
      </w:r>
      <w:proofErr w:type="spellStart"/>
      <w:r w:rsidRPr="00EF2E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нейротоксин</w:t>
      </w:r>
      <w:proofErr w:type="spellEnd"/>
      <w:r w:rsidRPr="00EF2E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типа А.</w:t>
      </w:r>
      <w:r w:rsidRPr="00E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Препарат оказывает </w:t>
      </w:r>
      <w:proofErr w:type="spellStart"/>
      <w:r w:rsidRPr="00E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пресинаптическое</w:t>
      </w:r>
      <w:proofErr w:type="spellEnd"/>
      <w:r w:rsidRPr="00E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блокирующее действие на холинергические нервные окончания. Эффект от инъекции сохраняется на протяжении 3-4 месяцев, после чего требуется повторное введение.</w:t>
      </w:r>
    </w:p>
    <w:p w:rsidR="00644DB6" w:rsidRPr="00EF2E76" w:rsidRDefault="00644DB6" w:rsidP="00EF2E76">
      <w:pPr>
        <w:numPr>
          <w:ilvl w:val="0"/>
          <w:numId w:val="9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E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Препараты </w:t>
      </w:r>
      <w:proofErr w:type="spellStart"/>
      <w:r w:rsidRPr="00EF2E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бензодиазепинового</w:t>
      </w:r>
      <w:proofErr w:type="spellEnd"/>
      <w:r w:rsidRPr="00EF2E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ряда</w:t>
      </w:r>
      <w:r w:rsidRPr="00E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Данная группа лекарственных средств входит в базовую схему лечения. Благодаря взаимодействию </w:t>
      </w:r>
      <w:proofErr w:type="spellStart"/>
      <w:r w:rsidRPr="00E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бензодиазепинов</w:t>
      </w:r>
      <w:proofErr w:type="spellEnd"/>
      <w:r w:rsidRPr="00E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ГАМК-рецепторами увеличивается связывание гамма-аминомасляной кислоты с белковыми структурами, что, в свою очередь, снижает возбудимость нейронов. При недостаточной эффективности медикаментов этой группы дополнительно используют нейролептики, антидепрессанты, </w:t>
      </w:r>
      <w:proofErr w:type="spellStart"/>
      <w:r w:rsidRPr="00E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миорелаксанты</w:t>
      </w:r>
      <w:proofErr w:type="spellEnd"/>
      <w:r w:rsidRPr="00E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седативные препараты.</w:t>
      </w:r>
    </w:p>
    <w:p w:rsidR="00644DB6" w:rsidRPr="00EF2E76" w:rsidRDefault="00644DB6" w:rsidP="00EF2E76">
      <w:pPr>
        <w:numPr>
          <w:ilvl w:val="0"/>
          <w:numId w:val="9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F2E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Холинолитики</w:t>
      </w:r>
      <w:proofErr w:type="spellEnd"/>
      <w:r w:rsidRPr="00E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Антихолинергические средства блокируют медиатор ацетилхолин, снижая скорость прохождения нервного импульса. Наряду с купированием спастических сокращений отмечается расширение зрачков </w:t>
      </w:r>
      <w:r w:rsidR="00D350DB" w:rsidRPr="00E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паралич аккомодации.</w:t>
      </w:r>
    </w:p>
    <w:p w:rsidR="00644DB6" w:rsidRPr="00EF2E76" w:rsidRDefault="00D350DB" w:rsidP="00EF2E76">
      <w:pPr>
        <w:numPr>
          <w:ilvl w:val="0"/>
          <w:numId w:val="9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E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Увлажняющие средства. </w:t>
      </w:r>
      <w:proofErr w:type="spellStart"/>
      <w:r w:rsidRPr="00EF2E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Инсталяции</w:t>
      </w:r>
      <w:proofErr w:type="spellEnd"/>
      <w:r w:rsidR="00644DB6" w:rsidRPr="00E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препаратов искусственной слезы назначают при развитии ксерофтальмии.</w:t>
      </w:r>
    </w:p>
    <w:p w:rsidR="00644DB6" w:rsidRPr="00EF2E76" w:rsidRDefault="00644DB6" w:rsidP="00EF2E76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Оперативное лечение показано при стойком блефароспазме и неэффективности медикаментозной терапии. Осуществляется пластика верхних, реже – нижних век. Применение этого метода лечения наиболее целес</w:t>
      </w:r>
      <w:r w:rsidR="00D350DB" w:rsidRPr="00E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ообразно при синдроме </w:t>
      </w:r>
      <w:proofErr w:type="spellStart"/>
      <w:r w:rsidR="00D350DB" w:rsidRPr="00E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апроксии</w:t>
      </w:r>
      <w:proofErr w:type="spellEnd"/>
      <w:r w:rsidR="00D350DB" w:rsidRPr="00E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E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отсутствии эффекта от </w:t>
      </w:r>
      <w:proofErr w:type="spellStart"/>
      <w:r w:rsidRPr="00E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блефаропластики</w:t>
      </w:r>
      <w:proofErr w:type="spellEnd"/>
      <w:r w:rsidRPr="00E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проводят билатеральное пересечение ветвей лицевого нерва. Ранее в лечении больных с идиопатическим блефароспазмом использовали </w:t>
      </w:r>
      <w:proofErr w:type="spellStart"/>
      <w:r w:rsidRPr="00E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термолитическое</w:t>
      </w:r>
      <w:proofErr w:type="spellEnd"/>
      <w:r w:rsidRPr="00E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повреждение нервных волокон, иннервирующих веко.</w:t>
      </w:r>
    </w:p>
    <w:p w:rsidR="00D350DB" w:rsidRPr="00EF2E76" w:rsidRDefault="00D350DB" w:rsidP="00EF2E76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4DB6" w:rsidRPr="00EF2E76" w:rsidRDefault="00644DB6" w:rsidP="00EF2E76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bookmarkStart w:id="8" w:name="h2_24"/>
      <w:bookmarkEnd w:id="8"/>
      <w:r w:rsidRPr="00EF2E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Прогноз и профилактика</w:t>
      </w:r>
    </w:p>
    <w:p w:rsidR="00D350DB" w:rsidRPr="00EF2E76" w:rsidRDefault="00D350DB" w:rsidP="00EF2E76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color w:val="36AFA8"/>
          <w:sz w:val="24"/>
          <w:szCs w:val="24"/>
          <w:lang w:eastAsia="ru-RU"/>
        </w:rPr>
      </w:pPr>
    </w:p>
    <w:p w:rsidR="00644DB6" w:rsidRPr="00EF2E76" w:rsidRDefault="00644DB6" w:rsidP="00EF2E76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 для жизни благоприятный, однако, частые приступы спастических сокращений резко затрудняют социальную адаптацию пациента. При постоянных тонических сокращениях круговой мышцы с редкими эпизодами релаксации больной не может самостоятельно передвигаться. Своевременное лечение позволяет компенсировать основные клинические проявления патологии. Методы профилактики болезни не разработаны. Пациентам с блефароспазмом в сочетании с неврологическими проявлениями необходимо исследовать структуры головного мозга на предмет выявления органических поражений.</w:t>
      </w:r>
    </w:p>
    <w:p w:rsidR="003B5094" w:rsidRPr="00EF2E76" w:rsidRDefault="003B5094" w:rsidP="00EF2E76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3B5094" w:rsidRPr="00EF2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63838"/>
    <w:multiLevelType w:val="multilevel"/>
    <w:tmpl w:val="167C1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AE2125"/>
    <w:multiLevelType w:val="multilevel"/>
    <w:tmpl w:val="9320B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E66055"/>
    <w:multiLevelType w:val="multilevel"/>
    <w:tmpl w:val="EC425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9447FA"/>
    <w:multiLevelType w:val="multilevel"/>
    <w:tmpl w:val="1EAC0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6A49DA"/>
    <w:multiLevelType w:val="multilevel"/>
    <w:tmpl w:val="007E1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66369B"/>
    <w:multiLevelType w:val="multilevel"/>
    <w:tmpl w:val="47D2A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F73BD7"/>
    <w:multiLevelType w:val="multilevel"/>
    <w:tmpl w:val="F3884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7D5333"/>
    <w:multiLevelType w:val="multilevel"/>
    <w:tmpl w:val="35CC2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6A7506"/>
    <w:multiLevelType w:val="multilevel"/>
    <w:tmpl w:val="56BAA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3"/>
  </w:num>
  <w:num w:numId="5">
    <w:abstractNumId w:val="0"/>
  </w:num>
  <w:num w:numId="6">
    <w:abstractNumId w:val="8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88E"/>
    <w:rsid w:val="0010288E"/>
    <w:rsid w:val="003B5094"/>
    <w:rsid w:val="00644DB6"/>
    <w:rsid w:val="009F507E"/>
    <w:rsid w:val="00BD3488"/>
    <w:rsid w:val="00D350DB"/>
    <w:rsid w:val="00E824C8"/>
    <w:rsid w:val="00EF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62017"/>
  <w15:chartTrackingRefBased/>
  <w15:docId w15:val="{DBA00845-D601-4773-AB2C-1542D6403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50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F50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50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F50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F5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F50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3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30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9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952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0D0D0"/>
                        <w:left w:val="single" w:sz="6" w:space="11" w:color="D0D0D0"/>
                        <w:bottom w:val="single" w:sz="6" w:space="11" w:color="D0D0D0"/>
                        <w:right w:val="single" w:sz="6" w:space="11" w:color="D0D0D0"/>
                      </w:divBdr>
                    </w:div>
                  </w:divsChild>
                </w:div>
                <w:div w:id="72661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8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2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7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86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0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7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6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5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5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asotaimedicina.ru/treatment/eye-structures/biomicroscop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rasotaimedicina.ru/treatment/electrophysiological-neurology/ee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rasotaimedicina.ru/treatment/electrophysiological-neurology/rheoencephalography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krasotaimedicina.ru/diagnostics/head-mri/" TargetMode="External"/><Relationship Id="rId10" Type="http://schemas.openxmlformats.org/officeDocument/2006/relationships/hyperlink" Target="https://www.krasotaimedicina.ru/treatment/ophthalmic-test/visual-acui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rasotaimedicina.ru/treatment/eye-structures/direct-ophthalmoscop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1799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2021-07-09T08:00:00Z</dcterms:created>
  <dcterms:modified xsi:type="dcterms:W3CDTF">2021-07-15T18:44:00Z</dcterms:modified>
</cp:coreProperties>
</file>