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566.9291338582677"/>
        <w:rPr>
          <w:b w:val="1"/>
          <w:color w:val="4a86e8"/>
        </w:rPr>
      </w:pPr>
      <w:r w:rsidDel="00000000" w:rsidR="00000000" w:rsidRPr="00000000">
        <w:rPr>
          <w:b w:val="1"/>
          <w:color w:val="4a86e8"/>
          <w:sz w:val="32"/>
          <w:szCs w:val="32"/>
          <w:highlight w:val="white"/>
          <w:rtl w:val="0"/>
        </w:rPr>
        <w:t xml:space="preserve">Пусковое устройство для автомобиля: скорая помощь двигателю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В штатных условиях аккумулятор запускает мотор. Если блок разряжен, или энергии недостаточно для генерации искры, топливо не воспламеняется, а сердце автомобиля не отвечает на повороты ключа. Спустя непродолжительное время водитель начинает искать способы, как сдвинуть машину с места.</w:t>
      </w:r>
    </w:p>
    <w:p w:rsidR="00000000" w:rsidDel="00000000" w:rsidP="00000000" w:rsidRDefault="00000000" w:rsidRPr="00000000" w14:paraId="00000003">
      <w:pPr>
        <w:spacing w:line="360" w:lineRule="auto"/>
        <w:ind w:firstLine="566.9291338582677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Когда ждать беды</w:t>
      </w:r>
    </w:p>
    <w:p w:rsidR="00000000" w:rsidDel="00000000" w:rsidP="00000000" w:rsidRDefault="00000000" w:rsidRPr="00000000" w14:paraId="00000004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Не только владельцы аккумуляторов с истекающим сроком службы рискуют попасть в неприятности. В новых машинах с исправным зарядным блоком вполне может случиться похожая ситуация. Забыли выключить фары, оставили радио и подготовили почву, чтобы аккумулятор умер.</w:t>
      </w:r>
    </w:p>
    <w:p w:rsidR="00000000" w:rsidDel="00000000" w:rsidP="00000000" w:rsidRDefault="00000000" w:rsidRPr="00000000" w14:paraId="00000005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Возвращение к жизни проводят разными способами. К сожалению, большинство из них варварские. Народные методы если и запустят зарядный блок, то принесут больше вреда, чем пользы. Цивилизованные способы есть, но давайте начнём с отрицательного опыта. </w:t>
      </w:r>
    </w:p>
    <w:p w:rsidR="00000000" w:rsidDel="00000000" w:rsidP="00000000" w:rsidRDefault="00000000" w:rsidRPr="00000000" w14:paraId="00000006">
      <w:pPr>
        <w:spacing w:line="360" w:lineRule="auto"/>
        <w:ind w:firstLine="566.9291338582677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Заводим по–старинке</w:t>
      </w:r>
    </w:p>
    <w:p w:rsidR="00000000" w:rsidDel="00000000" w:rsidP="00000000" w:rsidRDefault="00000000" w:rsidRPr="00000000" w14:paraId="00000007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Если только дедовские методы оказались под рукой, лучше заводить с толкача. Неподвижное авто цепляют тросом за рабочую машину и пытаются запустить двигатель по ходу буксировки. Иногда в качестве движущей силы задействуют пассажиров. Всё это долго, сложно и без гарантии на успех. Для АКПП способ не подходит.</w:t>
      </w:r>
    </w:p>
    <w:p w:rsidR="00000000" w:rsidDel="00000000" w:rsidP="00000000" w:rsidRDefault="00000000" w:rsidRPr="00000000" w14:paraId="00000008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Запуск двигателя «техническими средствами» намного опаснее. Для этого понадобится авто с «живым» аккумулятором и соединительные провода с зажимами. Если перепутать полярность, электроника сгорит не только у владельца машины с проблемным зарядным блоком, но и у автомобиля–донора. По этой причине желающих «подкурить» становится всё меньше.</w:t>
      </w:r>
    </w:p>
    <w:p w:rsidR="00000000" w:rsidDel="00000000" w:rsidP="00000000" w:rsidRDefault="00000000" w:rsidRPr="00000000" w14:paraId="00000009">
      <w:pPr>
        <w:spacing w:line="360" w:lineRule="auto"/>
        <w:ind w:firstLine="566.9291338582677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Что делать?</w:t>
      </w:r>
    </w:p>
    <w:p w:rsidR="00000000" w:rsidDel="00000000" w:rsidP="00000000" w:rsidRDefault="00000000" w:rsidRPr="00000000" w14:paraId="0000000A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Нужно выбрать цивилизованный путь — </w:t>
      </w:r>
      <w:r w:rsidDel="00000000" w:rsidR="00000000" w:rsidRPr="00000000">
        <w:rPr>
          <w:b w:val="1"/>
          <w:rtl w:val="0"/>
        </w:rPr>
        <w:t xml:space="preserve">пусковое устройство двигателя</w:t>
      </w:r>
      <w:r w:rsidDel="00000000" w:rsidR="00000000" w:rsidRPr="00000000">
        <w:rPr>
          <w:rtl w:val="0"/>
        </w:rPr>
        <w:t xml:space="preserve">, изначально спроектированное для запуска аккумулятора.</w:t>
      </w:r>
    </w:p>
    <w:p w:rsidR="00000000" w:rsidDel="00000000" w:rsidP="00000000" w:rsidRDefault="00000000" w:rsidRPr="00000000" w14:paraId="0000000B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В зависимости от принципа работы приборы делят на группы: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360" w:lineRule="auto"/>
        <w:ind w:firstLine="566.929133858267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  <w:t xml:space="preserve">Трансформаторные.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360" w:lineRule="auto"/>
        <w:ind w:firstLine="566.929133858267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  <w:t xml:space="preserve">Импульсные.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360" w:lineRule="auto"/>
        <w:ind w:firstLine="566.929133858267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  <w:t xml:space="preserve">Конденсаторные.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firstLine="566.929133858267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  <w:t xml:space="preserve">Аккумуляторные.</w:t>
      </w:r>
    </w:p>
    <w:p w:rsidR="00000000" w:rsidDel="00000000" w:rsidP="00000000" w:rsidRDefault="00000000" w:rsidRPr="00000000" w14:paraId="00000010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Первая пара списка ориентирована на использование от домашней сети с напряжением 220 В и отключение аккумулятора от бортового питания. Схема окажется бесполезной, если застрять за городом, поэтому её рассматривать не будем.</w:t>
      </w:r>
    </w:p>
    <w:p w:rsidR="00000000" w:rsidDel="00000000" w:rsidP="00000000" w:rsidRDefault="00000000" w:rsidRPr="00000000" w14:paraId="00000011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Конденсаторные аппараты малоприменимы в быту из–за очевидных минусов: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firstLine="566.929133858267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  <w:t xml:space="preserve">Неприемлемая для потребителей цена.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firstLine="566.929133858267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  <w:t xml:space="preserve">Сложная схема работы.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firstLine="566.929133858267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  <w:t xml:space="preserve">Негативное влияние на зарядный блок.</w:t>
      </w:r>
    </w:p>
    <w:p w:rsidR="00000000" w:rsidDel="00000000" w:rsidP="00000000" w:rsidRDefault="00000000" w:rsidRPr="00000000" w14:paraId="00000015">
      <w:pPr>
        <w:spacing w:line="360" w:lineRule="auto"/>
        <w:ind w:firstLine="566.9291338582677"/>
        <w:rPr/>
      </w:pPr>
      <w:r w:rsidDel="00000000" w:rsidR="00000000" w:rsidRPr="00000000">
        <w:rPr>
          <w:rtl w:val="0"/>
        </w:rPr>
        <w:t xml:space="preserve">Остаются </w:t>
      </w:r>
      <w:r w:rsidDel="00000000" w:rsidR="00000000" w:rsidRPr="00000000">
        <w:rPr>
          <w:b w:val="1"/>
          <w:rtl w:val="0"/>
        </w:rPr>
        <w:t xml:space="preserve">портативные пусковые устройства</w:t>
      </w:r>
      <w:r w:rsidDel="00000000" w:rsidR="00000000" w:rsidRPr="00000000">
        <w:rPr>
          <w:rtl w:val="0"/>
        </w:rPr>
        <w:t xml:space="preserve"> аккумуляторного типа, получившие признания потребителей благодаря удобной и надёжной работе.</w:t>
      </w:r>
    </w:p>
    <w:p w:rsidR="00000000" w:rsidDel="00000000" w:rsidP="00000000" w:rsidRDefault="00000000" w:rsidRPr="00000000" w14:paraId="00000016">
      <w:pPr>
        <w:spacing w:line="360" w:lineRule="auto"/>
        <w:ind w:firstLine="566.9291338582677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Принцип действия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4"/>
        <w:szCs w:val="24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2e75b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