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6629"/>
        <w:gridCol w:w="6946"/>
      </w:tblGrid>
      <w:tr w:rsidR="00984749" w:rsidRPr="00AE5FEC" w:rsidTr="001D47E5">
        <w:tc>
          <w:tcPr>
            <w:tcW w:w="6629" w:type="dxa"/>
          </w:tcPr>
          <w:p w:rsidR="00984749" w:rsidRPr="00314FA4" w:rsidRDefault="00984749" w:rsidP="00314F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6946" w:type="dxa"/>
          </w:tcPr>
          <w:p w:rsidR="00984749" w:rsidRPr="00314FA4" w:rsidRDefault="00253BB1" w:rsidP="00314F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Ukrainian</w:t>
            </w:r>
          </w:p>
        </w:tc>
      </w:tr>
      <w:tr w:rsidR="00984749" w:rsidRPr="00AE5FEC" w:rsidTr="001D47E5">
        <w:tc>
          <w:tcPr>
            <w:tcW w:w="6629" w:type="dxa"/>
          </w:tcPr>
          <w:p w:rsidR="00984749" w:rsidRPr="00314FA4" w:rsidRDefault="001D47E5" w:rsidP="00314F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</w:rPr>
              <w:t>EARNINGS DISCLAIMER:</w:t>
            </w:r>
          </w:p>
        </w:tc>
        <w:tc>
          <w:tcPr>
            <w:tcW w:w="6946" w:type="dxa"/>
          </w:tcPr>
          <w:p w:rsidR="00984749" w:rsidRPr="00314FA4" w:rsidRDefault="00AF385D" w:rsidP="00314F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ВІМОВА ВІД ВІДПОВІДАЛЬНОСТІ</w:t>
            </w:r>
            <w:r w:rsidR="001D47E5" w:rsidRPr="00314FA4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314FA4" w:rsidRPr="00253BB1" w:rsidTr="00757979">
        <w:trPr>
          <w:trHeight w:val="1605"/>
        </w:trPr>
        <w:tc>
          <w:tcPr>
            <w:tcW w:w="6629" w:type="dxa"/>
            <w:vAlign w:val="center"/>
          </w:tcPr>
          <w:p w:rsidR="00314FA4" w:rsidRPr="00314FA4" w:rsidRDefault="00314FA4" w:rsidP="0030125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There are no guarantees regarding the income from the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MyDailyChoice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opportunity. The success or failure of each Affiliate like in any other business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,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depends upon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each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ffiliates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’ skillset and personal effort. </w:t>
            </w:r>
          </w:p>
        </w:tc>
        <w:tc>
          <w:tcPr>
            <w:tcW w:w="6946" w:type="dxa"/>
            <w:vAlign w:val="center"/>
          </w:tcPr>
          <w:p w:rsidR="00314FA4" w:rsidRPr="00314FA4" w:rsidRDefault="00314FA4" w:rsidP="0030125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Немає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жодних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гарантій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щодо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прибутку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від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0125A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можливості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MyDailyChoice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Успіх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невдача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кожного Партнера, як і будь-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інший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бізнес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залежить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сукупності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навичок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й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особистих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зусиль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кожного Партнера. </w:t>
            </w:r>
          </w:p>
        </w:tc>
      </w:tr>
      <w:tr w:rsidR="00CE548C" w:rsidRPr="00253BB1" w:rsidTr="00757979">
        <w:trPr>
          <w:trHeight w:val="2272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CE548C" w:rsidRPr="0030125A" w:rsidRDefault="00CE548C" w:rsidP="0030125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Earning levels for Independent Affiliates are examples and should not be construed as typical or average. Income level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achievements are dependent upon the individual Affiliates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’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business skills, personal ambition, time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,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commitment, act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ivity, and demographic factors.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E548C" w:rsidRPr="00314FA4" w:rsidRDefault="00CE548C" w:rsidP="00314F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Тому не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варто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розцінювати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прибутки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окремих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незалежних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Партнерів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як типов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і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середні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лише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приклади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Рівень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прибутку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залежить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підприємницьких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навичок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амбіцій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витраченого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часу,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відданості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справі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активності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конкретного Партнера, а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також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демографічних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чинників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E548C" w:rsidRPr="00314FA4" w:rsidRDefault="00CE548C" w:rsidP="00314F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CE548C" w:rsidRPr="00A51509" w:rsidTr="00757979">
        <w:trPr>
          <w:trHeight w:val="2226"/>
        </w:trPr>
        <w:tc>
          <w:tcPr>
            <w:tcW w:w="6629" w:type="dxa"/>
            <w:vAlign w:val="center"/>
          </w:tcPr>
          <w:p w:rsidR="00CE548C" w:rsidRPr="00314FA4" w:rsidRDefault="00CE548C" w:rsidP="00314F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MyDailyChoiceis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committed to meeting all legal and compliance requirements in the Direct Selling industry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.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In order to protect the legal standing of the Company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,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protect our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Independent Affiliates from making unsubstantiated income claims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,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we have developed the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MyDailyChoice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Income Disclosure Statement (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«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IDS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»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). </w:t>
            </w:r>
          </w:p>
          <w:p w:rsidR="00CE548C" w:rsidRPr="00314FA4" w:rsidRDefault="00CE548C" w:rsidP="00314F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51509" w:rsidRPr="00314FA4" w:rsidRDefault="00A51509" w:rsidP="00A5150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MyDailyChoice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прагне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всіх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чинних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та норм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секторі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прямих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продажів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. З метою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захисту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правової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репутації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компанії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захисту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незалежних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Партнері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необгрунтованих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претензій на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прибутки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, ми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розробили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Заяву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розкриття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доходів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(«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IDS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»)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MyDailyChoice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E548C" w:rsidRPr="00A51509" w:rsidRDefault="00CE548C" w:rsidP="00314F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984749" w:rsidRPr="00757979" w:rsidTr="00757979">
        <w:tc>
          <w:tcPr>
            <w:tcW w:w="6629" w:type="dxa"/>
            <w:vAlign w:val="center"/>
          </w:tcPr>
          <w:p w:rsidR="001D73E8" w:rsidRPr="00314FA4" w:rsidRDefault="001D73E8" w:rsidP="00314FA4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</w:rPr>
              <w:t>The Mantra Essential Oil</w:t>
            </w: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</w:rPr>
              <w:t>Difference</w:t>
            </w:r>
          </w:p>
          <w:p w:rsidR="00984749" w:rsidRPr="00314FA4" w:rsidRDefault="00984749" w:rsidP="00314F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84749" w:rsidRPr="00314FA4" w:rsidRDefault="00037802" w:rsidP="00757979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Винятковість</w:t>
            </w:r>
            <w:proofErr w:type="spellEnd"/>
            <w:r w:rsidRPr="0075797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ефірних</w:t>
            </w:r>
            <w:r w:rsidR="00D34DE3" w:rsidRPr="00314FA4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57979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олій </w:t>
            </w:r>
            <w:r w:rsidRPr="00314FA4">
              <w:rPr>
                <w:rFonts w:ascii="Arial" w:hAnsi="Arial" w:cs="Arial"/>
                <w:b/>
                <w:color w:val="000000"/>
                <w:sz w:val="28"/>
                <w:szCs w:val="28"/>
              </w:rPr>
              <w:t>Mantra</w:t>
            </w:r>
            <w:r w:rsidRPr="0075797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D73E8" w:rsidRPr="00253BB1" w:rsidTr="00757979">
        <w:trPr>
          <w:trHeight w:val="900"/>
        </w:trPr>
        <w:tc>
          <w:tcPr>
            <w:tcW w:w="6629" w:type="dxa"/>
            <w:vAlign w:val="center"/>
          </w:tcPr>
          <w:p w:rsidR="001D73E8" w:rsidRDefault="00C86F27" w:rsidP="00314F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With Mantra, quality and safety are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</w:rPr>
              <w:t>our highest priorities. That’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s why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we</w:t>
            </w:r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’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ve</w:t>
            </w:r>
            <w:proofErr w:type="spell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traveled the world in search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of the purest essential oils, and why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="00E83CF2" w:rsidRPr="00314FA4">
              <w:rPr>
                <w:rFonts w:ascii="Arial" w:hAnsi="Arial" w:cs="Arial"/>
                <w:color w:val="000000"/>
                <w:sz w:val="28"/>
                <w:szCs w:val="28"/>
              </w:rPr>
              <w:t>we’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ve</w:t>
            </w:r>
          </w:p>
          <w:p w:rsidR="00757979" w:rsidRPr="00314FA4" w:rsidRDefault="00757979" w:rsidP="00314FA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rigorously vetted the extraction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processes we use.</w:t>
            </w:r>
          </w:p>
        </w:tc>
        <w:tc>
          <w:tcPr>
            <w:tcW w:w="6946" w:type="dxa"/>
            <w:vAlign w:val="center"/>
          </w:tcPr>
          <w:p w:rsidR="001D73E8" w:rsidRPr="00314FA4" w:rsidRDefault="00E83CF2" w:rsidP="0075797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компанії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</w:rPr>
              <w:t>Mantra</w:t>
            </w:r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якість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безпека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є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найвищими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пріоритетами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. Ось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чому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ми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подорожували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світом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пошуках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найчистіших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ефірних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797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олій</w:t>
            </w:r>
            <w:proofErr w:type="spellEnd"/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, </w:t>
            </w:r>
            <w:r w:rsidR="0075797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й</w:t>
            </w:r>
            <w:r w:rsidR="00210077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тому ми</w:t>
            </w:r>
            <w:r w:rsidR="0075797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7979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ретельно</w:t>
            </w:r>
            <w:proofErr w:type="spellEnd"/>
            <w:r w:rsidR="00757979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7979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перевірили</w:t>
            </w:r>
            <w:proofErr w:type="spellEnd"/>
            <w:r w:rsidR="0075797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нашу</w:t>
            </w:r>
            <w:r w:rsidR="00757979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7979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технологію</w:t>
            </w:r>
            <w:proofErr w:type="spellEnd"/>
            <w:r w:rsidR="0075797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7979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екстракції</w:t>
            </w:r>
            <w:proofErr w:type="spellEnd"/>
            <w:r w:rsidR="00757979"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57979" w:rsidRPr="009D0D39" w:rsidTr="009D0D39">
        <w:trPr>
          <w:trHeight w:val="2238"/>
        </w:trPr>
        <w:tc>
          <w:tcPr>
            <w:tcW w:w="6629" w:type="dxa"/>
            <w:vAlign w:val="center"/>
          </w:tcPr>
          <w:p w:rsidR="00757979" w:rsidRPr="009D0D39" w:rsidRDefault="00757979" w:rsidP="0075797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Our two processes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include cold-pressed expression from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our citrus oils, harvested at the precise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time to produce the most potent and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pure essential oil, and steam distillation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for our other oils, a delicate and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time-intensive process that ensures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ideal extract composition and efficacy.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757979" w:rsidRPr="009D0D39" w:rsidRDefault="00757979" w:rsidP="00EB559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9D0D39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Наша технологія складається з двох стадій: холодний віджим з цитрусових олій, зібраних у точний час для отримання найбільш дієвої й чистої ефірної олії та дистиляція парою для інших наших олій – це</w:t>
            </w:r>
            <w:r w:rsidR="00EB559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делікатний </w:t>
            </w:r>
            <w:bookmarkStart w:id="0" w:name="_GoBack"/>
            <w:bookmarkEnd w:id="0"/>
            <w:r w:rsidR="00EB559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і</w:t>
            </w:r>
            <w:r w:rsidRPr="009D0D39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трудомісткий процес, що забезпечує ідеальн</w:t>
            </w:r>
            <w:r w:rsidR="009D0D39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у формулу </w:t>
            </w:r>
            <w:r w:rsidRPr="009D0D39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екстракту </w:t>
            </w:r>
            <w:r w:rsidR="009D0D39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та її</w:t>
            </w:r>
            <w:r w:rsidRPr="009D0D39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ефективність. </w:t>
            </w:r>
          </w:p>
        </w:tc>
      </w:tr>
      <w:tr w:rsidR="00757979" w:rsidRPr="00757979" w:rsidTr="00757979">
        <w:trPr>
          <w:trHeight w:val="2524"/>
        </w:trPr>
        <w:tc>
          <w:tcPr>
            <w:tcW w:w="6629" w:type="dxa"/>
            <w:vAlign w:val="center"/>
          </w:tcPr>
          <w:p w:rsidR="00757979" w:rsidRPr="00314FA4" w:rsidRDefault="00757979" w:rsidP="0075797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To verify the purity of our oils,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each batch is </w:t>
            </w:r>
            <w:proofErr w:type="gramStart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tested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using</w:t>
            </w:r>
            <w:proofErr w:type="gramEnd"/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 xml:space="preserve"> Gas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Chromatography and Mass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Spectrometry, a highly sensitive test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that helps ensure we are delivering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premium oils with every batch. Discover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the many versatile ways to use Mantra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Single Oils and Chakra Blends!</w:t>
            </w:r>
          </w:p>
          <w:p w:rsidR="00757979" w:rsidRPr="00314FA4" w:rsidRDefault="00757979" w:rsidP="00314F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757979" w:rsidRPr="00757979" w:rsidRDefault="00757979" w:rsidP="0075797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Для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чистоти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наших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олій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кожна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партія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тестується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допомогою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методів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газової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хроматографії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та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мас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спектрометрії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високочутливого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тесту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який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допомагає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впевнитися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ми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постачаємо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олії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преміум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класу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кожній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партії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Відкрийте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для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себе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низку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універсальних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шляхів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моноолій</w:t>
            </w:r>
            <w:proofErr w:type="spellEnd"/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Mantra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та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Chakra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14FA4">
              <w:rPr>
                <w:rFonts w:ascii="Arial" w:hAnsi="Arial" w:cs="Arial"/>
                <w:color w:val="000000"/>
                <w:sz w:val="28"/>
                <w:szCs w:val="28"/>
              </w:rPr>
              <w:t>Blends</w:t>
            </w:r>
            <w:r w:rsidRPr="00757979">
              <w:rPr>
                <w:rFonts w:ascii="Arial" w:hAnsi="Arial" w:cs="Arial"/>
                <w:color w:val="000000"/>
                <w:sz w:val="28"/>
                <w:szCs w:val="28"/>
              </w:rPr>
              <w:t>!</w:t>
            </w:r>
          </w:p>
        </w:tc>
      </w:tr>
    </w:tbl>
    <w:p w:rsidR="00984749" w:rsidRPr="00757979" w:rsidRDefault="00984749">
      <w:pPr>
        <w:rPr>
          <w:rFonts w:ascii="Times New Roman" w:hAnsi="Times New Roman"/>
          <w:color w:val="000000"/>
          <w:sz w:val="28"/>
          <w:szCs w:val="28"/>
        </w:rPr>
      </w:pPr>
    </w:p>
    <w:sectPr w:rsidR="00984749" w:rsidRPr="00757979" w:rsidSect="001D47E5">
      <w:pgSz w:w="15840" w:h="12240" w:orient="landscape"/>
      <w:pgMar w:top="1800" w:right="1440" w:bottom="1740" w:left="11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C"/>
    <w:rsid w:val="00037802"/>
    <w:rsid w:val="00093AD7"/>
    <w:rsid w:val="000A522B"/>
    <w:rsid w:val="000B15B6"/>
    <w:rsid w:val="000C3ED7"/>
    <w:rsid w:val="000C62A4"/>
    <w:rsid w:val="00165511"/>
    <w:rsid w:val="001772BB"/>
    <w:rsid w:val="001A2F8D"/>
    <w:rsid w:val="001C2B0B"/>
    <w:rsid w:val="001D47E5"/>
    <w:rsid w:val="001D73E8"/>
    <w:rsid w:val="001F0094"/>
    <w:rsid w:val="00210077"/>
    <w:rsid w:val="00253BB1"/>
    <w:rsid w:val="0030125A"/>
    <w:rsid w:val="00314FA4"/>
    <w:rsid w:val="003739EF"/>
    <w:rsid w:val="00425B91"/>
    <w:rsid w:val="00426A7F"/>
    <w:rsid w:val="00432FAA"/>
    <w:rsid w:val="00485345"/>
    <w:rsid w:val="0048693C"/>
    <w:rsid w:val="004943B1"/>
    <w:rsid w:val="004C5AA2"/>
    <w:rsid w:val="004F3936"/>
    <w:rsid w:val="004F5F30"/>
    <w:rsid w:val="005273FA"/>
    <w:rsid w:val="00590666"/>
    <w:rsid w:val="005C0730"/>
    <w:rsid w:val="00601684"/>
    <w:rsid w:val="00675E6C"/>
    <w:rsid w:val="00676519"/>
    <w:rsid w:val="006C37A8"/>
    <w:rsid w:val="006D215C"/>
    <w:rsid w:val="00723935"/>
    <w:rsid w:val="007303F1"/>
    <w:rsid w:val="00752174"/>
    <w:rsid w:val="00757979"/>
    <w:rsid w:val="007C4541"/>
    <w:rsid w:val="007D474B"/>
    <w:rsid w:val="00803BFC"/>
    <w:rsid w:val="008948F4"/>
    <w:rsid w:val="00904BA5"/>
    <w:rsid w:val="00984749"/>
    <w:rsid w:val="00996D6B"/>
    <w:rsid w:val="009D0D39"/>
    <w:rsid w:val="00A115A5"/>
    <w:rsid w:val="00A231B7"/>
    <w:rsid w:val="00A51509"/>
    <w:rsid w:val="00A60BDC"/>
    <w:rsid w:val="00AB49BC"/>
    <w:rsid w:val="00AE5FEC"/>
    <w:rsid w:val="00AF385D"/>
    <w:rsid w:val="00B93F3E"/>
    <w:rsid w:val="00C24F1E"/>
    <w:rsid w:val="00C86F27"/>
    <w:rsid w:val="00CC5F84"/>
    <w:rsid w:val="00CE548C"/>
    <w:rsid w:val="00CF13B4"/>
    <w:rsid w:val="00D27E04"/>
    <w:rsid w:val="00D34DE3"/>
    <w:rsid w:val="00DD265F"/>
    <w:rsid w:val="00E100BB"/>
    <w:rsid w:val="00E703A0"/>
    <w:rsid w:val="00E83CF2"/>
    <w:rsid w:val="00E96B85"/>
    <w:rsid w:val="00EB5593"/>
    <w:rsid w:val="00F537A8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8DFE"/>
  <w15:docId w15:val="{D26F6300-BA17-4C2C-BB8F-C8D7AE2F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2800</Characters>
  <Application>Microsoft Office Word</Application>
  <DocSecurity>0</DocSecurity>
  <Lines>38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</cp:revision>
  <cp:lastPrinted>2021-03-05T01:49:00Z</cp:lastPrinted>
  <dcterms:created xsi:type="dcterms:W3CDTF">2021-10-13T10:12:00Z</dcterms:created>
  <dcterms:modified xsi:type="dcterms:W3CDTF">2021-10-13T10:24:00Z</dcterms:modified>
</cp:coreProperties>
</file>