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29" w:rsidRPr="00727429" w:rsidRDefault="00727429" w:rsidP="00553A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553A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«Образовательное учреждение»</w:t>
      </w:r>
    </w:p>
    <w:p w:rsidR="00727429" w:rsidRP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727429" w:rsidRP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 w:rsidRPr="00727429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 xml:space="preserve"> </w:t>
      </w:r>
    </w:p>
    <w:p w:rsidR="00727429" w:rsidRP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 w:rsidRPr="00727429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>ДОКЛАД НА ТЕМУ:</w:t>
      </w:r>
      <w:r w:rsidRPr="00727429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br/>
      </w:r>
      <w:r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</w:rPr>
        <w:t>«</w:t>
      </w:r>
      <w:r w:rsidRPr="0054276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</w:rPr>
        <w:t>Предмет и значение курса</w:t>
      </w:r>
      <w:r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</w:rPr>
        <w:t>»</w:t>
      </w:r>
    </w:p>
    <w:p w:rsidR="00727429" w:rsidRP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</w:p>
    <w:p w:rsidR="00727429" w:rsidRPr="00542765" w:rsidRDefault="00553A72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>ФИО</w:t>
      </w:r>
    </w:p>
    <w:p w:rsidR="00727429" w:rsidRPr="00727429" w:rsidRDefault="0064131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студент</w:t>
      </w:r>
      <w:r w:rsidR="00727429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</w:t>
      </w:r>
      <w:r w:rsidR="00553A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5</w:t>
      </w:r>
      <w:r w:rsidR="00727429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группы </w:t>
      </w:r>
      <w:r w:rsidR="00553A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3</w:t>
      </w:r>
      <w:r w:rsidR="00727429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курса</w:t>
      </w:r>
      <w:r w:rsidR="00727429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br/>
        <w:t>очной формы обучения</w:t>
      </w:r>
      <w:r w:rsidR="00727429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br/>
      </w:r>
    </w:p>
    <w:p w:rsidR="00727429" w:rsidRP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</w:p>
    <w:p w:rsidR="00727429" w:rsidRP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</w:p>
    <w:p w:rsid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553A72" w:rsidRDefault="00553A72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553A72" w:rsidRPr="00727429" w:rsidRDefault="00553A72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727429" w:rsidRP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4F7A99" w:rsidRPr="00727429" w:rsidRDefault="004F7A9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727429" w:rsidRPr="00727429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553A72" w:rsidRDefault="00727429" w:rsidP="007274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</w:pPr>
      <w:r w:rsidRPr="00727429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  <w:t>Москва</w:t>
      </w:r>
      <w:r w:rsidRPr="00727429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  <w:br/>
        <w:t>2021</w:t>
      </w:r>
    </w:p>
    <w:p w:rsidR="00727429" w:rsidRPr="00727429" w:rsidRDefault="00727429" w:rsidP="00553A72">
      <w:pPr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</w:pP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36"/>
          <w:szCs w:val="22"/>
          <w:lang w:eastAsia="en-US"/>
        </w:rPr>
        <w:id w:val="1490754816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:rsidR="00203774" w:rsidRPr="00382C2A" w:rsidRDefault="004F7A99">
          <w:pPr>
            <w:pStyle w:val="a4"/>
            <w:rPr>
              <w:rFonts w:ascii="Times New Roman" w:hAnsi="Times New Roman" w:cs="Times New Roman"/>
              <w:sz w:val="44"/>
            </w:rPr>
          </w:pPr>
          <w:r>
            <w:rPr>
              <w:rFonts w:ascii="Times New Roman" w:hAnsi="Times New Roman" w:cs="Times New Roman"/>
              <w:sz w:val="44"/>
            </w:rPr>
            <w:t>Содержание</w:t>
          </w:r>
        </w:p>
        <w:p w:rsidR="00382C2A" w:rsidRPr="00382C2A" w:rsidRDefault="0020377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382C2A">
            <w:rPr>
              <w:rFonts w:ascii="Times New Roman" w:hAnsi="Times New Roman" w:cs="Times New Roman"/>
              <w:sz w:val="32"/>
            </w:rPr>
            <w:fldChar w:fldCharType="begin"/>
          </w:r>
          <w:r w:rsidRPr="00382C2A">
            <w:rPr>
              <w:rFonts w:ascii="Times New Roman" w:hAnsi="Times New Roman" w:cs="Times New Roman"/>
              <w:sz w:val="32"/>
            </w:rPr>
            <w:instrText xml:space="preserve"> TOC \o "1-3" \h \z \u </w:instrText>
          </w:r>
          <w:r w:rsidRPr="00382C2A">
            <w:rPr>
              <w:rFonts w:ascii="Times New Roman" w:hAnsi="Times New Roman" w:cs="Times New Roman"/>
              <w:sz w:val="32"/>
            </w:rPr>
            <w:fldChar w:fldCharType="separate"/>
          </w:r>
          <w:hyperlink w:anchor="_Toc89711409" w:history="1">
            <w:r w:rsidR="00382C2A" w:rsidRPr="00382C2A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1.</w:t>
            </w:r>
            <w:r w:rsidR="00382C2A" w:rsidRPr="00382C2A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82C2A" w:rsidRPr="00382C2A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Понятие и предмет римского права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_Toc89711409 \h </w:instrTex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82C2A" w:rsidRPr="00382C2A" w:rsidRDefault="004F7A9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89711410" w:history="1"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1.1.</w:t>
            </w:r>
            <w:r w:rsidR="00382C2A" w:rsidRPr="00382C2A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Определение римского права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_Toc89711410 \h </w:instrTex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82C2A" w:rsidRPr="00382C2A" w:rsidRDefault="004F7A9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89711411" w:history="1"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1.2.</w:t>
            </w:r>
            <w:r w:rsidR="00382C2A" w:rsidRPr="00382C2A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Предмет римского права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_Toc89711411 \h </w:instrTex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82C2A" w:rsidRPr="00382C2A" w:rsidRDefault="004F7A9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89711412" w:history="1"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1.3.</w:t>
            </w:r>
            <w:r w:rsidR="00382C2A" w:rsidRPr="00382C2A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Периодизация римского права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_Toc89711412 \h </w:instrTex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82C2A" w:rsidRPr="00382C2A" w:rsidRDefault="004F7A9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89711413" w:history="1"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1.4.</w:t>
            </w:r>
            <w:r w:rsidR="00382C2A" w:rsidRPr="00382C2A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Основные черты римского права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_Toc89711413 \h </w:instrTex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82C2A" w:rsidRPr="00382C2A" w:rsidRDefault="004F7A9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89711414" w:history="1"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1.5.</w:t>
            </w:r>
            <w:r w:rsidR="00382C2A" w:rsidRPr="00382C2A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82C2A" w:rsidRPr="00382C2A">
              <w:rPr>
                <w:rStyle w:val="a5"/>
                <w:rFonts w:ascii="Times New Roman" w:hAnsi="Times New Roman" w:cs="Times New Roman"/>
                <w:noProof/>
                <w:sz w:val="28"/>
              </w:rPr>
              <w:t>Системы римского права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_Toc89711414 \h </w:instrTex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82C2A" w:rsidRPr="00382C2A" w:rsidRDefault="004F7A9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89711415" w:history="1">
            <w:r w:rsidR="00382C2A" w:rsidRPr="00382C2A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Заключение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_Toc89711415 \h </w:instrTex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82C2A" w:rsidRPr="00382C2A" w:rsidRDefault="004F7A9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89711416" w:history="1">
            <w:r w:rsidR="00382C2A" w:rsidRPr="00382C2A">
              <w:rPr>
                <w:rStyle w:val="a5"/>
                <w:rFonts w:ascii="Times New Roman" w:hAnsi="Times New Roman" w:cs="Times New Roman"/>
                <w:b/>
                <w:noProof/>
                <w:sz w:val="28"/>
              </w:rPr>
              <w:t>Список использованной литературы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_Toc89711416 \h </w:instrTex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382C2A" w:rsidRPr="00382C2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03774" w:rsidRPr="00542765" w:rsidRDefault="00203774">
          <w:pPr>
            <w:rPr>
              <w:rFonts w:ascii="Times New Roman" w:hAnsi="Times New Roman" w:cs="Times New Roman"/>
              <w:sz w:val="24"/>
            </w:rPr>
          </w:pPr>
          <w:r w:rsidRPr="00382C2A">
            <w:rPr>
              <w:rFonts w:ascii="Times New Roman" w:hAnsi="Times New Roman" w:cs="Times New Roman"/>
              <w:b/>
              <w:bCs/>
              <w:sz w:val="32"/>
            </w:rPr>
            <w:fldChar w:fldCharType="end"/>
          </w:r>
        </w:p>
      </w:sdtContent>
    </w:sdt>
    <w:p w:rsidR="00203774" w:rsidRPr="00542765" w:rsidRDefault="00203774">
      <w:pPr>
        <w:rPr>
          <w:rFonts w:ascii="Times New Roman" w:hAnsi="Times New Roman" w:cs="Times New Roman"/>
          <w:sz w:val="24"/>
        </w:rPr>
      </w:pPr>
      <w:r w:rsidRPr="00542765">
        <w:rPr>
          <w:rFonts w:ascii="Times New Roman" w:hAnsi="Times New Roman" w:cs="Times New Roman"/>
          <w:sz w:val="24"/>
        </w:rPr>
        <w:br w:type="page"/>
      </w:r>
    </w:p>
    <w:p w:rsidR="00203774" w:rsidRPr="00542765" w:rsidRDefault="00203774">
      <w:pPr>
        <w:rPr>
          <w:rFonts w:ascii="Times New Roman" w:hAnsi="Times New Roman" w:cs="Times New Roman"/>
        </w:rPr>
      </w:pPr>
    </w:p>
    <w:p w:rsidR="00727429" w:rsidRPr="00542765" w:rsidRDefault="00727429" w:rsidP="00203774">
      <w:pPr>
        <w:pStyle w:val="a4"/>
        <w:rPr>
          <w:rFonts w:ascii="Times New Roman" w:hAnsi="Times New Roman" w:cs="Times New Roman"/>
        </w:rPr>
      </w:pPr>
    </w:p>
    <w:p w:rsidR="00A2558F" w:rsidRPr="00542765" w:rsidRDefault="00727429" w:rsidP="00382C2A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" w:name="_Toc89642221"/>
      <w:bookmarkStart w:id="2" w:name="_Toc89711409"/>
      <w:r w:rsidRPr="00542765">
        <w:rPr>
          <w:rFonts w:ascii="Times New Roman" w:hAnsi="Times New Roman" w:cs="Times New Roman"/>
          <w:b/>
          <w:color w:val="000000" w:themeColor="text1"/>
        </w:rPr>
        <w:t>Понятие и предмет римского права</w:t>
      </w:r>
      <w:bookmarkEnd w:id="1"/>
      <w:bookmarkEnd w:id="2"/>
    </w:p>
    <w:p w:rsidR="00727429" w:rsidRPr="00382C2A" w:rsidRDefault="00727429" w:rsidP="00382C2A">
      <w:pPr>
        <w:pStyle w:val="a3"/>
        <w:numPr>
          <w:ilvl w:val="1"/>
          <w:numId w:val="7"/>
        </w:numPr>
        <w:spacing w:line="360" w:lineRule="auto"/>
        <w:jc w:val="center"/>
        <w:rPr>
          <w:rFonts w:ascii="Times New Roman" w:hAnsi="Times New Roman" w:cs="Times New Roman"/>
          <w:sz w:val="32"/>
        </w:rPr>
      </w:pPr>
      <w:bookmarkStart w:id="3" w:name="_Toc89642222"/>
      <w:bookmarkStart w:id="4" w:name="_Toc89711410"/>
      <w:r w:rsidRPr="00382C2A">
        <w:rPr>
          <w:rStyle w:val="20"/>
          <w:rFonts w:ascii="Times New Roman" w:hAnsi="Times New Roman" w:cs="Times New Roman"/>
          <w:sz w:val="28"/>
        </w:rPr>
        <w:t>Определение римского права</w:t>
      </w:r>
      <w:bookmarkEnd w:id="3"/>
      <w:bookmarkEnd w:id="4"/>
    </w:p>
    <w:p w:rsidR="00727429" w:rsidRPr="00542765" w:rsidRDefault="00727429" w:rsidP="007274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Римское право состоит из публичного права и частного права. Публичное право регулирует состояние Римского государства, а частное право относится к имущественным выгодам отдельных граждан.</w:t>
      </w:r>
    </w:p>
    <w:p w:rsidR="00727429" w:rsidRPr="00542765" w:rsidRDefault="00727429" w:rsidP="007274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Публичное право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pudlicum</w:t>
      </w:r>
      <w:proofErr w:type="spellEnd"/>
      <w:r w:rsidRPr="00542765">
        <w:rPr>
          <w:rFonts w:ascii="Times New Roman" w:hAnsi="Times New Roman" w:cs="Times New Roman"/>
          <w:sz w:val="28"/>
        </w:rPr>
        <w:t>) выражает и защищает интересы государства, регулирует отношения между государством и частными лицами. Нормы публичного права являются обязательными, отдельными лицами они изменены быть не могут.</w:t>
      </w:r>
    </w:p>
    <w:p w:rsidR="00727429" w:rsidRPr="00542765" w:rsidRDefault="00727429" w:rsidP="007274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Частное право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privatum</w:t>
      </w:r>
      <w:proofErr w:type="spellEnd"/>
      <w:r w:rsidRPr="00542765">
        <w:rPr>
          <w:rFonts w:ascii="Times New Roman" w:hAnsi="Times New Roman" w:cs="Times New Roman"/>
          <w:sz w:val="28"/>
        </w:rPr>
        <w:t>) выражает и защищает интересы отдельных частных лиц. Нормы частного права могут быть изменены соглашением между частными лицами.</w:t>
      </w:r>
    </w:p>
    <w:p w:rsidR="00727429" w:rsidRPr="00542765" w:rsidRDefault="00727429" w:rsidP="007274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Частное право содержало нормы, регулирующие отношения как между физическими, так и между юридическими лицами. Это право включало в себя уполномочивающие и диспозитивные нормы, так как являлось областью, в которой вмешательство государства было ограниченным, и которая предоставляла простор для частных лиц.</w:t>
      </w:r>
    </w:p>
    <w:p w:rsidR="00727429" w:rsidRPr="00542765" w:rsidRDefault="00727429" w:rsidP="007274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Уполномочивающие нормы предоставляли частным лицам возможность отказаться от указанного в законе поведения и самим определить, как поступить в конкретном случае. Так, лицу предоставлялась возможность решить, то ли защищать свое нарушенное право собственности, то ли нет; предъявлять либо не предъявлять иск.</w:t>
      </w:r>
    </w:p>
    <w:p w:rsidR="00727429" w:rsidRPr="00542765" w:rsidRDefault="00727429" w:rsidP="007274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Диспозитивные (условно-обязательные) нормы действовали тогда, когда лицо не воспользовалось предоставленным ему правом. Например, если умерший не оставил после себя завещание, государство заполняло этот пробел. С </w:t>
      </w:r>
      <w:r w:rsidRPr="00542765">
        <w:rPr>
          <w:rFonts w:ascii="Times New Roman" w:hAnsi="Times New Roman" w:cs="Times New Roman"/>
          <w:sz w:val="28"/>
        </w:rPr>
        <w:lastRenderedPageBreak/>
        <w:t>помощью диспозитивной нормы оно определяло, кому и как переходит имущество умершего (наступало наследование по закону).</w:t>
      </w:r>
    </w:p>
    <w:p w:rsidR="00727429" w:rsidRPr="00542765" w:rsidRDefault="00727429" w:rsidP="007274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В настоящее время термин «частное право» сохранился в ряде государств, в особенности там, где имеется различение гражданского и торгового права. В этих государствах (например, Франция, Германия) частное право включает в себя главным образом: а) гражданское право, б) торговое право.</w:t>
      </w:r>
    </w:p>
    <w:p w:rsidR="00727429" w:rsidRPr="00542765" w:rsidRDefault="00727429" w:rsidP="007274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Гражданское право включает в себя нормы, регулирующие имущественные правоотношения автономных субъектов оборота, не являющиеся торговыми, а также семейные правоотношения и некоторые личные права. В области торгового права — нормы, регулирующие специальные взаимоотношения купцов и торговые сделки. В тех государствах, в которых отсутствовало торговое право, отношения в этой области регулировались просто гражданским правом.</w:t>
      </w:r>
    </w:p>
    <w:p w:rsidR="00727429" w:rsidRPr="00542765" w:rsidRDefault="00727429" w:rsidP="007274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Римское право не включало в себя термин «гражданское право» («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civile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») в указанном выше значении. Данный термин имел ряд значений, в особенности он означал: </w:t>
      </w:r>
    </w:p>
    <w:p w:rsidR="00727429" w:rsidRPr="00542765" w:rsidRDefault="00727429" w:rsidP="007274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Древнее право римских граждан (цивильное право), и в этом смысле «цивильное право» противопоставлялось </w:t>
      </w:r>
      <w:proofErr w:type="spellStart"/>
      <w:r w:rsidRPr="00542765">
        <w:rPr>
          <w:rFonts w:ascii="Times New Roman" w:hAnsi="Times New Roman" w:cs="Times New Roman"/>
          <w:sz w:val="28"/>
        </w:rPr>
        <w:t>преторскому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праву; </w:t>
      </w:r>
    </w:p>
    <w:p w:rsidR="00881A12" w:rsidRPr="00542765" w:rsidRDefault="00727429" w:rsidP="00881A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Всю совокупность юридических норм, действующих в данном государстве (</w:t>
      </w:r>
      <w:proofErr w:type="spellStart"/>
      <w:r w:rsidRPr="00542765">
        <w:rPr>
          <w:rFonts w:ascii="Times New Roman" w:hAnsi="Times New Roman" w:cs="Times New Roman"/>
          <w:sz w:val="28"/>
        </w:rPr>
        <w:t>civitas</w:t>
      </w:r>
      <w:proofErr w:type="spellEnd"/>
      <w:r w:rsidRPr="00542765">
        <w:rPr>
          <w:rFonts w:ascii="Times New Roman" w:hAnsi="Times New Roman" w:cs="Times New Roman"/>
          <w:sz w:val="28"/>
        </w:rPr>
        <w:t>) и выраженных в законах этого государства; в этом смысле гражданское право противопоставлялось «праву народов»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gentium</w:t>
      </w:r>
      <w:proofErr w:type="spellEnd"/>
      <w:r w:rsidRPr="00542765">
        <w:rPr>
          <w:rFonts w:ascii="Times New Roman" w:hAnsi="Times New Roman" w:cs="Times New Roman"/>
          <w:sz w:val="28"/>
        </w:rPr>
        <w:t>) и естественному праву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naturale</w:t>
      </w:r>
      <w:proofErr w:type="spellEnd"/>
      <w:r w:rsidRPr="00542765">
        <w:rPr>
          <w:rFonts w:ascii="Times New Roman" w:hAnsi="Times New Roman" w:cs="Times New Roman"/>
          <w:sz w:val="28"/>
        </w:rPr>
        <w:t>).</w:t>
      </w:r>
    </w:p>
    <w:p w:rsidR="00881A12" w:rsidRPr="00542765" w:rsidRDefault="00881A12" w:rsidP="00881A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81A12" w:rsidRPr="00542765" w:rsidRDefault="00881A12" w:rsidP="00382C2A">
      <w:pPr>
        <w:pStyle w:val="2"/>
        <w:numPr>
          <w:ilvl w:val="1"/>
          <w:numId w:val="7"/>
        </w:numPr>
        <w:jc w:val="center"/>
        <w:rPr>
          <w:rFonts w:ascii="Times New Roman" w:hAnsi="Times New Roman" w:cs="Times New Roman"/>
          <w:sz w:val="28"/>
        </w:rPr>
      </w:pPr>
      <w:bookmarkStart w:id="5" w:name="_Toc89642223"/>
      <w:bookmarkStart w:id="6" w:name="_Toc89711411"/>
      <w:r w:rsidRPr="00542765">
        <w:rPr>
          <w:rFonts w:ascii="Times New Roman" w:hAnsi="Times New Roman" w:cs="Times New Roman"/>
          <w:sz w:val="28"/>
        </w:rPr>
        <w:t>Предмет римского права</w:t>
      </w:r>
      <w:bookmarkEnd w:id="5"/>
      <w:bookmarkEnd w:id="6"/>
    </w:p>
    <w:p w:rsidR="00203774" w:rsidRPr="00542765" w:rsidRDefault="00203774" w:rsidP="00203774">
      <w:pPr>
        <w:rPr>
          <w:rFonts w:ascii="Times New Roman" w:hAnsi="Times New Roman" w:cs="Times New Roman"/>
        </w:rPr>
      </w:pP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Нормы римского частного права регулировали широкий круг общественных отношений между частными лицами. К ним относились: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lastRenderedPageBreak/>
        <w:t>1) комплекс личных прав, правовое положение субъектов в имущественных отношениях, возможность субъектов совершать сделки имущественного характера;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2) брачно-семейные отношения;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3) отношения, связанные с собственностью и другими правами на вещи;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4) круг вопросов, возникающих по поводу наследования имущества умерших и других лиц;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5) обязанности субъектов, возникающие из различных оснований — договоров, правонарушений, подобия договоров, подобия правонарушений;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6) вопросы защиты частных прав.</w:t>
      </w:r>
    </w:p>
    <w:p w:rsidR="00881A12" w:rsidRPr="00542765" w:rsidRDefault="00881A12" w:rsidP="00203774">
      <w:pPr>
        <w:rPr>
          <w:rFonts w:ascii="Times New Roman" w:hAnsi="Times New Roman" w:cs="Times New Roman"/>
        </w:rPr>
      </w:pPr>
    </w:p>
    <w:p w:rsidR="00881A12" w:rsidRPr="00542765" w:rsidRDefault="00881A12" w:rsidP="00382C2A">
      <w:pPr>
        <w:pStyle w:val="2"/>
        <w:numPr>
          <w:ilvl w:val="1"/>
          <w:numId w:val="7"/>
        </w:numPr>
        <w:jc w:val="center"/>
        <w:rPr>
          <w:rStyle w:val="20"/>
          <w:rFonts w:ascii="Times New Roman" w:hAnsi="Times New Roman" w:cs="Times New Roman"/>
          <w:sz w:val="28"/>
        </w:rPr>
      </w:pPr>
      <w:bookmarkStart w:id="7" w:name="_Toc89642224"/>
      <w:bookmarkStart w:id="8" w:name="_Toc89711412"/>
      <w:r w:rsidRPr="00542765">
        <w:rPr>
          <w:rStyle w:val="20"/>
          <w:rFonts w:ascii="Times New Roman" w:hAnsi="Times New Roman" w:cs="Times New Roman"/>
          <w:sz w:val="28"/>
        </w:rPr>
        <w:t>Периодизация римского права</w:t>
      </w:r>
      <w:bookmarkEnd w:id="7"/>
      <w:bookmarkEnd w:id="8"/>
    </w:p>
    <w:p w:rsidR="00203774" w:rsidRPr="00542765" w:rsidRDefault="00203774" w:rsidP="00203774">
      <w:pPr>
        <w:rPr>
          <w:rFonts w:ascii="Times New Roman" w:hAnsi="Times New Roman" w:cs="Times New Roman"/>
        </w:rPr>
      </w:pP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В истории человечества римскому праву отводится совершенно исключительное место: оно пережило создавший его народ и дважды покорило себе мир. 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Зарождение римского права относится к тому периоду, когда Рим был маленькой общиной среди многих других подобных себе общин средней Италии. На начальном этапе римское право представляло собой несложную и архаическую систему, проникнутую узконациональным и патриархальным характером. Не развиваясь и оставаясь на той же стадии развития, римское право давно было бы затеряно в архивах истории.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Римское право надолго пережило своего создателя — античное (рабовладельческое) общество. Оно частично или в переработанном виде легло в основу гражданского, частью уголовного и государственного прав многих феодальных, а затем буржуазных государств.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Периодизация римского права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romanum</w:t>
      </w:r>
      <w:proofErr w:type="spellEnd"/>
      <w:r w:rsidRPr="00542765">
        <w:rPr>
          <w:rFonts w:ascii="Times New Roman" w:hAnsi="Times New Roman" w:cs="Times New Roman"/>
          <w:sz w:val="28"/>
        </w:rPr>
        <w:t>) — это выделение в развитии права этапов, имеющих соответствующие признаки и временной промежуток.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Самой распространенной периодизацией является деление эволюции частного римского права на следующие периоды.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</w:p>
    <w:p w:rsidR="00881A12" w:rsidRPr="00542765" w:rsidRDefault="00881A12" w:rsidP="002037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Период древнего, или </w:t>
      </w:r>
      <w:proofErr w:type="spellStart"/>
      <w:r w:rsidRPr="00542765">
        <w:rPr>
          <w:rFonts w:ascii="Times New Roman" w:hAnsi="Times New Roman" w:cs="Times New Roman"/>
          <w:sz w:val="28"/>
        </w:rPr>
        <w:t>квиритского</w:t>
      </w:r>
      <w:proofErr w:type="spellEnd"/>
      <w:r w:rsidRPr="00542765">
        <w:rPr>
          <w:rFonts w:ascii="Times New Roman" w:hAnsi="Times New Roman" w:cs="Times New Roman"/>
          <w:sz w:val="28"/>
        </w:rPr>
        <w:t>, гражданского права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civile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Quiritium</w:t>
      </w:r>
      <w:proofErr w:type="spellEnd"/>
      <w:r w:rsidRPr="00542765">
        <w:rPr>
          <w:rFonts w:ascii="Times New Roman" w:hAnsi="Times New Roman" w:cs="Times New Roman"/>
          <w:sz w:val="28"/>
        </w:rPr>
        <w:t>) — 754 г. до н. э. В этот период основным источником права выступают Законы XII таблиц, закрепившие основные институты правовой системы Рима.</w:t>
      </w:r>
    </w:p>
    <w:p w:rsidR="00881A12" w:rsidRPr="00542765" w:rsidRDefault="00881A12" w:rsidP="002037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42765">
        <w:rPr>
          <w:rFonts w:ascii="Times New Roman" w:hAnsi="Times New Roman" w:cs="Times New Roman"/>
          <w:sz w:val="28"/>
        </w:rPr>
        <w:lastRenderedPageBreak/>
        <w:t>Предклассический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период — 367 г. до н. э. Издаются законы, развивается наследственное право, создаются такие способы создания правовых норм, как формулы претора. Изменяется форма судебного процесса (с </w:t>
      </w:r>
      <w:proofErr w:type="spellStart"/>
      <w:r w:rsidRPr="00542765">
        <w:rPr>
          <w:rFonts w:ascii="Times New Roman" w:hAnsi="Times New Roman" w:cs="Times New Roman"/>
          <w:sz w:val="28"/>
        </w:rPr>
        <w:t>легисакционного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на формулярный).</w:t>
      </w:r>
    </w:p>
    <w:p w:rsidR="00881A12" w:rsidRPr="00542765" w:rsidRDefault="00881A12" w:rsidP="002037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Классический период — 27 г. до н. э. — 284 г. н. э. Появляются </w:t>
      </w:r>
      <w:proofErr w:type="spellStart"/>
      <w:r w:rsidRPr="00542765">
        <w:rPr>
          <w:rFonts w:ascii="Times New Roman" w:hAnsi="Times New Roman" w:cs="Times New Roman"/>
          <w:sz w:val="28"/>
        </w:rPr>
        <w:t>сенатусконсульты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, конституции </w:t>
      </w:r>
      <w:proofErr w:type="spellStart"/>
      <w:r w:rsidRPr="00542765">
        <w:rPr>
          <w:rFonts w:ascii="Times New Roman" w:hAnsi="Times New Roman" w:cs="Times New Roman"/>
          <w:sz w:val="28"/>
        </w:rPr>
        <w:t>принцепса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и ответы юристов. Появляется экстраординарный процесс.</w:t>
      </w:r>
    </w:p>
    <w:p w:rsidR="00881A12" w:rsidRPr="00542765" w:rsidRDefault="00881A12" w:rsidP="002037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42765">
        <w:rPr>
          <w:rFonts w:ascii="Times New Roman" w:hAnsi="Times New Roman" w:cs="Times New Roman"/>
          <w:sz w:val="28"/>
        </w:rPr>
        <w:t>Постклассический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— 284–565 г. н. э. В конце периода возникает Кодекс Юстиниана (</w:t>
      </w:r>
      <w:proofErr w:type="spellStart"/>
      <w:r w:rsidRPr="00542765">
        <w:rPr>
          <w:rFonts w:ascii="Times New Roman" w:hAnsi="Times New Roman" w:cs="Times New Roman"/>
          <w:sz w:val="28"/>
        </w:rPr>
        <w:t>Corpus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juris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civilis</w:t>
      </w:r>
      <w:proofErr w:type="spellEnd"/>
      <w:r w:rsidRPr="00542765">
        <w:rPr>
          <w:rFonts w:ascii="Times New Roman" w:hAnsi="Times New Roman" w:cs="Times New Roman"/>
          <w:sz w:val="28"/>
        </w:rPr>
        <w:t>).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</w:rPr>
      </w:pPr>
    </w:p>
    <w:p w:rsidR="00881A12" w:rsidRPr="00542765" w:rsidRDefault="00203774" w:rsidP="00382C2A">
      <w:pPr>
        <w:pStyle w:val="2"/>
        <w:numPr>
          <w:ilvl w:val="1"/>
          <w:numId w:val="7"/>
        </w:numPr>
        <w:jc w:val="center"/>
        <w:rPr>
          <w:rFonts w:ascii="Times New Roman" w:hAnsi="Times New Roman" w:cs="Times New Roman"/>
          <w:sz w:val="28"/>
        </w:rPr>
      </w:pPr>
      <w:bookmarkStart w:id="9" w:name="_Toc89711413"/>
      <w:r w:rsidRPr="00542765">
        <w:rPr>
          <w:rFonts w:ascii="Times New Roman" w:hAnsi="Times New Roman" w:cs="Times New Roman"/>
          <w:sz w:val="28"/>
        </w:rPr>
        <w:t>Основные черты римского права</w:t>
      </w:r>
      <w:bookmarkEnd w:id="9"/>
    </w:p>
    <w:p w:rsidR="00203774" w:rsidRPr="00542765" w:rsidRDefault="00203774" w:rsidP="00203774">
      <w:pPr>
        <w:rPr>
          <w:rFonts w:ascii="Times New Roman" w:hAnsi="Times New Roman" w:cs="Times New Roman"/>
          <w:sz w:val="28"/>
        </w:rPr>
      </w:pP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На всем протяжении истории общества мы не встречаем другой системы частного права, достигшей такой детализации и столь высокого </w:t>
      </w:r>
      <w:proofErr w:type="spellStart"/>
      <w:r w:rsidRPr="00542765">
        <w:rPr>
          <w:rFonts w:ascii="Times New Roman" w:hAnsi="Times New Roman" w:cs="Times New Roman"/>
          <w:sz w:val="28"/>
        </w:rPr>
        <w:t>уров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ня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юридической формы и юридической техники, как римское частное право. Следует в осо</w:t>
      </w:r>
      <w:r w:rsidR="00203774" w:rsidRPr="00542765">
        <w:rPr>
          <w:rFonts w:ascii="Times New Roman" w:hAnsi="Times New Roman" w:cs="Times New Roman"/>
          <w:sz w:val="28"/>
        </w:rPr>
        <w:t xml:space="preserve">бенности отметить два право </w:t>
      </w:r>
      <w:proofErr w:type="spellStart"/>
      <w:r w:rsidR="00203774" w:rsidRPr="00542765">
        <w:rPr>
          <w:rFonts w:ascii="Times New Roman" w:hAnsi="Times New Roman" w:cs="Times New Roman"/>
          <w:sz w:val="28"/>
        </w:rPr>
        <w:t>вых</w:t>
      </w:r>
      <w:proofErr w:type="spellEnd"/>
      <w:r w:rsidR="00203774" w:rsidRPr="00542765">
        <w:rPr>
          <w:rFonts w:ascii="Times New Roman" w:hAnsi="Times New Roman" w:cs="Times New Roman"/>
          <w:sz w:val="28"/>
        </w:rPr>
        <w:t xml:space="preserve"> </w:t>
      </w:r>
      <w:r w:rsidRPr="00542765">
        <w:rPr>
          <w:rFonts w:ascii="Times New Roman" w:hAnsi="Times New Roman" w:cs="Times New Roman"/>
          <w:sz w:val="28"/>
        </w:rPr>
        <w:t>института, которые</w:t>
      </w:r>
      <w:r w:rsidR="00203774" w:rsidRPr="00542765">
        <w:rPr>
          <w:rFonts w:ascii="Times New Roman" w:hAnsi="Times New Roman" w:cs="Times New Roman"/>
          <w:sz w:val="28"/>
        </w:rPr>
        <w:t xml:space="preserve"> вызвали в Риме подробную регла</w:t>
      </w:r>
      <w:r w:rsidRPr="00542765">
        <w:rPr>
          <w:rFonts w:ascii="Times New Roman" w:hAnsi="Times New Roman" w:cs="Times New Roman"/>
          <w:sz w:val="28"/>
        </w:rPr>
        <w:t>ментацию, имевшую особое значение для хозяйственного оборота Рима, для закрепления и усиления эксплуатации рабов и малоимущих свободных, производившейся верхушк</w:t>
      </w:r>
      <w:r w:rsidR="00203774" w:rsidRPr="00542765">
        <w:rPr>
          <w:rFonts w:ascii="Times New Roman" w:hAnsi="Times New Roman" w:cs="Times New Roman"/>
          <w:sz w:val="28"/>
        </w:rPr>
        <w:t>ой рабовладельческого общества.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Во-первых, институт неограниченной индивидуальной частной собственности, выросший из необходимости установить, в возможно широком объеме, права рабовладельцев на землю, обеспечить полную свободу эксплуатации рабов и предоставить купцам действительную возможность распоряжаться товарами.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Во-вторых, институт договора. Торговый оборот, достигший своего наивысшего развития в Риме в первые века новой эры, и вообще ведение богачами крупного хозяйства вызвали необходимость подробной разработки разнообразных типов договорных отношений и детальнейшей формулировки прав и обязанностей контрагентов на основе твердости договора и безжалостного отношения к должнику, не выполнившему договора.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К началу новой эры в Римском государстве исчезли пережитки первобытнообщинного строя и проявления семейной общности имущества. Постепенно римское частное право приобретает черты индивидуализма и свободы правового самоопределения имущих слоев свободного населения. Субъект собственности самостоятельно выступает в обороте и единолично несет ответственность за свои действия. Индивидуализм определяется тем, что домохозяин или рабовладелец ведет хозяйство и сталкивается на рынке с другими такими же хозяевами.</w:t>
      </w:r>
    </w:p>
    <w:p w:rsidR="00203774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lastRenderedPageBreak/>
        <w:t>Последовательное проведение этих начал, имеющих огромную ценность для господствующего класса общества, основанного на эксплуатации, сочеталось в Риме с находящейся на весьма высоком уровне формой выражения юридических норм.</w:t>
      </w:r>
      <w:r w:rsidR="00203774" w:rsidRPr="00542765">
        <w:rPr>
          <w:rFonts w:ascii="Times New Roman" w:hAnsi="Times New Roman" w:cs="Times New Roman"/>
          <w:sz w:val="28"/>
        </w:rPr>
        <w:t xml:space="preserve"> </w:t>
      </w:r>
    </w:p>
    <w:p w:rsidR="00881A12" w:rsidRPr="00542765" w:rsidRDefault="00881A12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Таким образом, отличительными признаками частного римского права являются: ясность построения и аргументации, точность формулировок, конкретность и практичность права и соответствие всех юридических выводов интересам господствующего класса.</w:t>
      </w:r>
    </w:p>
    <w:p w:rsidR="00203774" w:rsidRPr="00542765" w:rsidRDefault="00203774" w:rsidP="00203774">
      <w:pPr>
        <w:jc w:val="both"/>
        <w:rPr>
          <w:rFonts w:ascii="Times New Roman" w:hAnsi="Times New Roman" w:cs="Times New Roman"/>
          <w:sz w:val="28"/>
        </w:rPr>
      </w:pPr>
    </w:p>
    <w:p w:rsidR="00203774" w:rsidRPr="00382C2A" w:rsidRDefault="00203774" w:rsidP="00382C2A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sz w:val="32"/>
        </w:rPr>
      </w:pPr>
      <w:bookmarkStart w:id="10" w:name="_Toc89711414"/>
      <w:r w:rsidRPr="00382C2A">
        <w:rPr>
          <w:rStyle w:val="20"/>
          <w:rFonts w:ascii="Times New Roman" w:hAnsi="Times New Roman" w:cs="Times New Roman"/>
          <w:sz w:val="28"/>
        </w:rPr>
        <w:t>Системы римского права</w:t>
      </w:r>
      <w:bookmarkEnd w:id="10"/>
    </w:p>
    <w:p w:rsidR="00203774" w:rsidRPr="00542765" w:rsidRDefault="00203774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Римское частное право было представлено тремя ветвями, которые появились в различное время. Первую составляли нормы </w:t>
      </w:r>
      <w:proofErr w:type="spellStart"/>
      <w:r w:rsidRPr="00542765">
        <w:rPr>
          <w:rFonts w:ascii="Times New Roman" w:hAnsi="Times New Roman" w:cs="Times New Roman"/>
          <w:sz w:val="28"/>
        </w:rPr>
        <w:t>квиритского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(цивильного) права, формирование и развитие которого приходится на VI в. — середину III в. до н. э. Нормы древнейшего права регулировали отношения исключительно между квиритами — римскими гражданами.</w:t>
      </w:r>
    </w:p>
    <w:p w:rsidR="00203774" w:rsidRPr="00542765" w:rsidRDefault="00203774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Расширение торговли, развитие сельского хозяйства, ремесел, частных имущественных отношений, в целом рабовладельческой системы хозяйства вызвали дальнейшее развитие частного права. Нормы </w:t>
      </w:r>
      <w:proofErr w:type="spellStart"/>
      <w:r w:rsidRPr="00542765">
        <w:rPr>
          <w:rFonts w:ascii="Times New Roman" w:hAnsi="Times New Roman" w:cs="Times New Roman"/>
          <w:sz w:val="28"/>
        </w:rPr>
        <w:t>квиритского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права уже не в состоянии были регулировать развитие торгово-денежных отношений. Жизнь настоятельно требовала привести старые нормы в соответствие с новыми условиями и потребностями общества. Вот почему рядом с </w:t>
      </w:r>
      <w:proofErr w:type="spellStart"/>
      <w:r w:rsidRPr="00542765">
        <w:rPr>
          <w:rFonts w:ascii="Times New Roman" w:hAnsi="Times New Roman" w:cs="Times New Roman"/>
          <w:sz w:val="28"/>
        </w:rPr>
        <w:t>квиритским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правом появилось </w:t>
      </w:r>
      <w:proofErr w:type="spellStart"/>
      <w:r w:rsidRPr="00542765">
        <w:rPr>
          <w:rFonts w:ascii="Times New Roman" w:hAnsi="Times New Roman" w:cs="Times New Roman"/>
          <w:sz w:val="28"/>
        </w:rPr>
        <w:t>преторское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право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praetorium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) как вторая ветвь частного права. Она выросла из эдиктов магистратов, в особенности </w:t>
      </w:r>
      <w:proofErr w:type="spellStart"/>
      <w:r w:rsidRPr="00542765">
        <w:rPr>
          <w:rFonts w:ascii="Times New Roman" w:hAnsi="Times New Roman" w:cs="Times New Roman"/>
          <w:sz w:val="28"/>
        </w:rPr>
        <w:t>преторских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эдиктов.</w:t>
      </w:r>
    </w:p>
    <w:p w:rsidR="00203774" w:rsidRPr="00542765" w:rsidRDefault="00203774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В ходе судебной деятельности преторы не отменяли и не изменяли нормы </w:t>
      </w:r>
      <w:proofErr w:type="spellStart"/>
      <w:r w:rsidRPr="00542765">
        <w:rPr>
          <w:rFonts w:ascii="Times New Roman" w:hAnsi="Times New Roman" w:cs="Times New Roman"/>
          <w:sz w:val="28"/>
        </w:rPr>
        <w:t>квиритского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права, а лишь придавали нормам старых законов новое значение (лишали силы то или иное положение цивильного права). Осуществляя защиту новых отношений, преторы сделали следующий шаг. С помощью эдиктов они стали заполнять пробелы цивильного права. Позднее </w:t>
      </w:r>
      <w:proofErr w:type="spellStart"/>
      <w:r w:rsidRPr="00542765">
        <w:rPr>
          <w:rFonts w:ascii="Times New Roman" w:hAnsi="Times New Roman" w:cs="Times New Roman"/>
          <w:sz w:val="28"/>
        </w:rPr>
        <w:t>преторские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эдикты стали включать формулы, которые были направлены на изменение норм цивильного права, </w:t>
      </w:r>
      <w:proofErr w:type="spellStart"/>
      <w:r w:rsidRPr="00542765">
        <w:rPr>
          <w:rFonts w:ascii="Times New Roman" w:hAnsi="Times New Roman" w:cs="Times New Roman"/>
          <w:sz w:val="28"/>
        </w:rPr>
        <w:t>преторский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эдикт указывал пути для признания новых отношений. Представляя средства защиты вопреки цивильному праву или в дополнение его, эдикт претора создавал новые формы права.</w:t>
      </w:r>
    </w:p>
    <w:p w:rsidR="00203774" w:rsidRPr="00542765" w:rsidRDefault="00203774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Нормы </w:t>
      </w:r>
      <w:proofErr w:type="spellStart"/>
      <w:r w:rsidRPr="00542765">
        <w:rPr>
          <w:rFonts w:ascii="Times New Roman" w:hAnsi="Times New Roman" w:cs="Times New Roman"/>
          <w:sz w:val="28"/>
        </w:rPr>
        <w:t>преторского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права, так </w:t>
      </w:r>
      <w:proofErr w:type="gramStart"/>
      <w:r w:rsidRPr="00542765">
        <w:rPr>
          <w:rFonts w:ascii="Times New Roman" w:hAnsi="Times New Roman" w:cs="Times New Roman"/>
          <w:sz w:val="28"/>
        </w:rPr>
        <w:t>же</w:t>
      </w:r>
      <w:proofErr w:type="gramEnd"/>
      <w:r w:rsidRPr="00542765">
        <w:rPr>
          <w:rFonts w:ascii="Times New Roman" w:hAnsi="Times New Roman" w:cs="Times New Roman"/>
          <w:sz w:val="28"/>
        </w:rPr>
        <w:t xml:space="preserve"> как и нормы </w:t>
      </w:r>
      <w:proofErr w:type="spellStart"/>
      <w:r w:rsidRPr="00542765">
        <w:rPr>
          <w:rFonts w:ascii="Times New Roman" w:hAnsi="Times New Roman" w:cs="Times New Roman"/>
          <w:sz w:val="28"/>
        </w:rPr>
        <w:t>квиритского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права, регулировали отношения между римскими гражданами. Однако в отличие от последних эти нормы были освобождены от формализма, религиозной обрядности и символики. Основой </w:t>
      </w:r>
      <w:proofErr w:type="spellStart"/>
      <w:r w:rsidRPr="00542765">
        <w:rPr>
          <w:rFonts w:ascii="Times New Roman" w:hAnsi="Times New Roman" w:cs="Times New Roman"/>
          <w:sz w:val="28"/>
        </w:rPr>
        <w:t>преторского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права являлись </w:t>
      </w:r>
      <w:proofErr w:type="spellStart"/>
      <w:r w:rsidRPr="00542765">
        <w:rPr>
          <w:rFonts w:ascii="Times New Roman" w:hAnsi="Times New Roman" w:cs="Times New Roman"/>
          <w:sz w:val="28"/>
        </w:rPr>
        <w:t>прин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ципы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доброй совести, справедливости, гуманности, рационалистическое учение о </w:t>
      </w:r>
      <w:r w:rsidRPr="00542765">
        <w:rPr>
          <w:rFonts w:ascii="Times New Roman" w:hAnsi="Times New Roman" w:cs="Times New Roman"/>
          <w:sz w:val="28"/>
        </w:rPr>
        <w:lastRenderedPageBreak/>
        <w:t>естественном праве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naturale</w:t>
      </w:r>
      <w:proofErr w:type="spellEnd"/>
      <w:r w:rsidRPr="00542765">
        <w:rPr>
          <w:rFonts w:ascii="Times New Roman" w:hAnsi="Times New Roman" w:cs="Times New Roman"/>
          <w:sz w:val="28"/>
        </w:rPr>
        <w:t>). В соответствии с естественным правом все люди равны и рождаются свободными. Непосредственно из принципа справедливости выводилось равенство римских граждан перед законом. Принцип гуманизма означал уважительное отношение к личности.</w:t>
      </w:r>
    </w:p>
    <w:p w:rsidR="00203774" w:rsidRPr="00542765" w:rsidRDefault="00203774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>Торговый обмен между Римом и другими территориями Римского государства требовал создания правовых норм, приемлемых для совершения сделок с участием иностранных граждан. В республиканский период в силу этого появилась еще одна система частного права — «право народов» (</w:t>
      </w:r>
      <w:proofErr w:type="spellStart"/>
      <w:r w:rsidRPr="00542765">
        <w:rPr>
          <w:rFonts w:ascii="Times New Roman" w:hAnsi="Times New Roman" w:cs="Times New Roman"/>
          <w:sz w:val="28"/>
        </w:rPr>
        <w:t>ius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765">
        <w:rPr>
          <w:rFonts w:ascii="Times New Roman" w:hAnsi="Times New Roman" w:cs="Times New Roman"/>
          <w:sz w:val="28"/>
        </w:rPr>
        <w:t>gentium</w:t>
      </w:r>
      <w:proofErr w:type="spellEnd"/>
      <w:r w:rsidRPr="00542765">
        <w:rPr>
          <w:rFonts w:ascii="Times New Roman" w:hAnsi="Times New Roman" w:cs="Times New Roman"/>
          <w:sz w:val="28"/>
        </w:rPr>
        <w:t>). Эта система впитала в себя институты римского права и нормы права Греции, Египта и некоторых других государств.</w:t>
      </w:r>
    </w:p>
    <w:p w:rsidR="00203774" w:rsidRPr="00542765" w:rsidRDefault="00203774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В отличие от </w:t>
      </w:r>
      <w:proofErr w:type="spellStart"/>
      <w:r w:rsidRPr="00542765">
        <w:rPr>
          <w:rFonts w:ascii="Times New Roman" w:hAnsi="Times New Roman" w:cs="Times New Roman"/>
          <w:sz w:val="28"/>
        </w:rPr>
        <w:t>квиртского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42765">
        <w:rPr>
          <w:rFonts w:ascii="Times New Roman" w:hAnsi="Times New Roman" w:cs="Times New Roman"/>
          <w:sz w:val="28"/>
        </w:rPr>
        <w:t>преторского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права нормы «права народов» регулировали отношения между римскими гражданами и </w:t>
      </w:r>
      <w:proofErr w:type="spellStart"/>
      <w:r w:rsidRPr="00542765">
        <w:rPr>
          <w:rFonts w:ascii="Times New Roman" w:hAnsi="Times New Roman" w:cs="Times New Roman"/>
          <w:sz w:val="28"/>
        </w:rPr>
        <w:t>перегринами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, а также между </w:t>
      </w:r>
      <w:proofErr w:type="spellStart"/>
      <w:r w:rsidRPr="00542765">
        <w:rPr>
          <w:rFonts w:ascii="Times New Roman" w:hAnsi="Times New Roman" w:cs="Times New Roman"/>
          <w:sz w:val="28"/>
        </w:rPr>
        <w:t>перегринами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на территории Римского государства. Это право по сравнению с римским правом древнейшего периода отличались простотой, отсутствием формальностей и гибкостью.</w:t>
      </w:r>
    </w:p>
    <w:p w:rsidR="00203774" w:rsidRDefault="00203774" w:rsidP="00203774">
      <w:pPr>
        <w:jc w:val="both"/>
        <w:rPr>
          <w:rFonts w:ascii="Times New Roman" w:hAnsi="Times New Roman" w:cs="Times New Roman"/>
          <w:sz w:val="28"/>
        </w:rPr>
      </w:pPr>
      <w:r w:rsidRPr="00542765">
        <w:rPr>
          <w:rFonts w:ascii="Times New Roman" w:hAnsi="Times New Roman" w:cs="Times New Roman"/>
          <w:sz w:val="28"/>
        </w:rPr>
        <w:t xml:space="preserve">Исконное римское частное право и «право народов» долгое время дополняли друг друга. При этом существенно было влияние «права народов» на </w:t>
      </w:r>
      <w:proofErr w:type="spellStart"/>
      <w:r w:rsidRPr="00542765">
        <w:rPr>
          <w:rFonts w:ascii="Times New Roman" w:hAnsi="Times New Roman" w:cs="Times New Roman"/>
          <w:sz w:val="28"/>
        </w:rPr>
        <w:t>квиритское</w:t>
      </w:r>
      <w:proofErr w:type="spellEnd"/>
      <w:r w:rsidRPr="00542765">
        <w:rPr>
          <w:rFonts w:ascii="Times New Roman" w:hAnsi="Times New Roman" w:cs="Times New Roman"/>
          <w:sz w:val="28"/>
        </w:rPr>
        <w:t xml:space="preserve"> право, и последнее стало терять свои специфические черты. Постепенно происходило сближение всех трех систем права. Если в начале III в. н. э. еще сохранялись некоторые различия между ними, то уже к середине IV в. все три системы образовали единое римское частное право.</w:t>
      </w:r>
    </w:p>
    <w:p w:rsidR="000108C1" w:rsidRDefault="00010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108C1" w:rsidRPr="00382C2A" w:rsidRDefault="000108C1" w:rsidP="00382C2A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1" w:name="_Toc89711415"/>
      <w:r w:rsidRPr="00382C2A">
        <w:rPr>
          <w:rFonts w:ascii="Times New Roman" w:hAnsi="Times New Roman" w:cs="Times New Roman"/>
          <w:b/>
          <w:color w:val="000000" w:themeColor="text1"/>
        </w:rPr>
        <w:lastRenderedPageBreak/>
        <w:t>Заключение</w:t>
      </w:r>
      <w:bookmarkEnd w:id="11"/>
    </w:p>
    <w:p w:rsidR="00382C2A" w:rsidRPr="00382C2A" w:rsidRDefault="00382C2A" w:rsidP="00382C2A">
      <w:pPr>
        <w:rPr>
          <w:rFonts w:ascii="Times New Roman" w:hAnsi="Times New Roman" w:cs="Times New Roman"/>
          <w:sz w:val="28"/>
        </w:rPr>
      </w:pPr>
      <w:r w:rsidRPr="00382C2A">
        <w:rPr>
          <w:rFonts w:ascii="Times New Roman" w:hAnsi="Times New Roman" w:cs="Times New Roman"/>
          <w:sz w:val="28"/>
        </w:rPr>
        <w:t>Римское право отлично от права современных правовых систем: оно основано не на абстрактных правовых установлениях, а на отдельных случаях, взятых из повседневной жизни, поэтому его называют лабораторией юристов. На примере римского права можно проследить, как устанавливается единый политический и правовой порядок, какими механизмами право связывается с реальностью, каково соотношение между правом и хозяйством и т.д. Римское право - это эксперимент</w:t>
      </w:r>
      <w:r>
        <w:rPr>
          <w:rFonts w:ascii="Times New Roman" w:hAnsi="Times New Roman" w:cs="Times New Roman"/>
          <w:sz w:val="28"/>
        </w:rPr>
        <w:t xml:space="preserve">, который поставила сама жизнь. </w:t>
      </w:r>
      <w:r w:rsidRPr="00382C2A">
        <w:rPr>
          <w:rFonts w:ascii="Times New Roman" w:hAnsi="Times New Roman" w:cs="Times New Roman"/>
          <w:sz w:val="28"/>
        </w:rPr>
        <w:t>Исключительность римского права - результат интенсивного развития общества, его культуры, а также товарно-денежных отношений, имевших в Римской империи международный характер.</w:t>
      </w:r>
    </w:p>
    <w:p w:rsidR="000108C1" w:rsidRDefault="00382C2A" w:rsidP="00382C2A">
      <w:pPr>
        <w:rPr>
          <w:rFonts w:ascii="Times New Roman" w:hAnsi="Times New Roman" w:cs="Times New Roman"/>
          <w:sz w:val="28"/>
        </w:rPr>
      </w:pPr>
      <w:r w:rsidRPr="00382C2A">
        <w:rPr>
          <w:rFonts w:ascii="Times New Roman" w:hAnsi="Times New Roman" w:cs="Times New Roman"/>
          <w:sz w:val="28"/>
        </w:rPr>
        <w:t xml:space="preserve">Римское право является не только феноменом мирового культурного наследия, но и основой преподавания юриспруденции в вузах юридического профиля, а его подходы к созданию </w:t>
      </w:r>
      <w:proofErr w:type="spellStart"/>
      <w:r w:rsidRPr="00382C2A">
        <w:rPr>
          <w:rFonts w:ascii="Times New Roman" w:hAnsi="Times New Roman" w:cs="Times New Roman"/>
          <w:sz w:val="28"/>
        </w:rPr>
        <w:t>цивилистических</w:t>
      </w:r>
      <w:proofErr w:type="spellEnd"/>
      <w:r w:rsidRPr="00382C2A">
        <w:rPr>
          <w:rFonts w:ascii="Times New Roman" w:hAnsi="Times New Roman" w:cs="Times New Roman"/>
          <w:sz w:val="28"/>
        </w:rPr>
        <w:t xml:space="preserve"> конструкций - образцом для законотворческой и правоприменительной деятельности в современных условиях.</w:t>
      </w:r>
      <w:r w:rsidR="000108C1">
        <w:rPr>
          <w:rFonts w:ascii="Times New Roman" w:hAnsi="Times New Roman" w:cs="Times New Roman"/>
          <w:sz w:val="28"/>
        </w:rPr>
        <w:br w:type="page"/>
      </w:r>
    </w:p>
    <w:p w:rsidR="000108C1" w:rsidRPr="00382C2A" w:rsidRDefault="000108C1" w:rsidP="00382C2A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2" w:name="_Toc89711416"/>
      <w:r w:rsidRPr="00382C2A">
        <w:rPr>
          <w:rFonts w:ascii="Times New Roman" w:hAnsi="Times New Roman" w:cs="Times New Roman"/>
          <w:b/>
          <w:color w:val="000000" w:themeColor="text1"/>
        </w:rPr>
        <w:lastRenderedPageBreak/>
        <w:t>Список использованной литературы</w:t>
      </w:r>
      <w:bookmarkEnd w:id="12"/>
    </w:p>
    <w:p w:rsidR="000108C1" w:rsidRDefault="000108C1" w:rsidP="000108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Аксенова</w:t>
      </w:r>
      <w:r w:rsidRPr="000108C1">
        <w:rPr>
          <w:rFonts w:ascii="Times New Roman" w:hAnsi="Times New Roman" w:cs="Times New Roman"/>
          <w:sz w:val="28"/>
        </w:rPr>
        <w:t xml:space="preserve"> Ольга Васильевна</w:t>
      </w:r>
      <w:r>
        <w:rPr>
          <w:rFonts w:ascii="Times New Roman" w:hAnsi="Times New Roman" w:cs="Times New Roman"/>
          <w:sz w:val="28"/>
        </w:rPr>
        <w:t xml:space="preserve">. </w:t>
      </w:r>
      <w:r w:rsidRPr="000108C1">
        <w:rPr>
          <w:rFonts w:ascii="Times New Roman" w:hAnsi="Times New Roman" w:cs="Times New Roman"/>
          <w:sz w:val="28"/>
        </w:rPr>
        <w:t>Публичное и частное в римском праве: аксиологический аспект</w:t>
      </w:r>
      <w:r>
        <w:rPr>
          <w:rFonts w:ascii="Times New Roman" w:hAnsi="Times New Roman" w:cs="Times New Roman"/>
          <w:sz w:val="28"/>
        </w:rPr>
        <w:t>-диссертация, 2007 год.</w:t>
      </w:r>
    </w:p>
    <w:p w:rsidR="000108C1" w:rsidRDefault="000108C1" w:rsidP="000108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Римское Частное Право. Учебник/Под ред. проф. И.Б. Новицкого и проф. И.С.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Перетерского</w:t>
      </w:r>
      <w:proofErr w:type="spellEnd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Зеркало-М, 2012.-560 с.</w:t>
      </w:r>
    </w:p>
    <w:p w:rsidR="000108C1" w:rsidRPr="00382C2A" w:rsidRDefault="00382C2A" w:rsidP="00382C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2C2A">
        <w:rPr>
          <w:rFonts w:ascii="Times New Roman" w:hAnsi="Times New Roman" w:cs="Times New Roman"/>
          <w:color w:val="000000"/>
          <w:sz w:val="28"/>
          <w:szCs w:val="28"/>
        </w:rPr>
        <w:t xml:space="preserve">сторическое развитие гражданского оборота в древнем </w:t>
      </w:r>
      <w:proofErr w:type="spellStart"/>
      <w:r w:rsidRPr="00382C2A">
        <w:rPr>
          <w:rFonts w:ascii="Times New Roman" w:hAnsi="Times New Roman" w:cs="Times New Roman"/>
          <w:color w:val="000000"/>
          <w:sz w:val="28"/>
          <w:szCs w:val="28"/>
        </w:rPr>
        <w:t>риме</w:t>
      </w:r>
      <w:proofErr w:type="spellEnd"/>
      <w:r w:rsidRPr="00382C2A">
        <w:rPr>
          <w:rFonts w:ascii="Times New Roman" w:hAnsi="Times New Roman" w:cs="Times New Roman"/>
          <w:color w:val="000000"/>
          <w:sz w:val="28"/>
          <w:szCs w:val="28"/>
        </w:rPr>
        <w:t xml:space="preserve">: от </w:t>
      </w:r>
      <w:proofErr w:type="spellStart"/>
      <w:r w:rsidRPr="00382C2A">
        <w:rPr>
          <w:rFonts w:ascii="Times New Roman" w:hAnsi="Times New Roman" w:cs="Times New Roman"/>
          <w:color w:val="000000"/>
          <w:sz w:val="28"/>
          <w:szCs w:val="28"/>
        </w:rPr>
        <w:t>квиритского</w:t>
      </w:r>
      <w:proofErr w:type="spellEnd"/>
      <w:r w:rsidRPr="00382C2A">
        <w:rPr>
          <w:rFonts w:ascii="Times New Roman" w:hAnsi="Times New Roman" w:cs="Times New Roman"/>
          <w:color w:val="000000"/>
          <w:sz w:val="28"/>
          <w:szCs w:val="28"/>
        </w:rPr>
        <w:t xml:space="preserve"> права к </w:t>
      </w:r>
      <w:proofErr w:type="spellStart"/>
      <w:r w:rsidRPr="00382C2A">
        <w:rPr>
          <w:rFonts w:ascii="Times New Roman" w:hAnsi="Times New Roman" w:cs="Times New Roman"/>
          <w:color w:val="000000"/>
          <w:sz w:val="28"/>
          <w:szCs w:val="28"/>
        </w:rPr>
        <w:t>преторскому</w:t>
      </w:r>
      <w:proofErr w:type="spellEnd"/>
      <w:r w:rsidRPr="00382C2A">
        <w:rPr>
          <w:rFonts w:ascii="Times New Roman" w:hAnsi="Times New Roman" w:cs="Times New Roman"/>
          <w:color w:val="000000"/>
          <w:sz w:val="28"/>
          <w:szCs w:val="28"/>
        </w:rPr>
        <w:t xml:space="preserve"> праву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82C2A">
        <w:rPr>
          <w:rFonts w:ascii="Times New Roman" w:hAnsi="Times New Roman" w:cs="Times New Roman"/>
          <w:color w:val="000000"/>
          <w:sz w:val="28"/>
          <w:szCs w:val="28"/>
        </w:rPr>
        <w:t>Игорь Александрович Гончаров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научная работа</w:t>
      </w:r>
    </w:p>
    <w:p w:rsidR="00382C2A" w:rsidRPr="00382C2A" w:rsidRDefault="00382C2A" w:rsidP="00382C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2C2A">
        <w:rPr>
          <w:rFonts w:ascii="Times New Roman" w:hAnsi="Times New Roman" w:cs="Times New Roman"/>
          <w:sz w:val="28"/>
          <w:szCs w:val="28"/>
        </w:rPr>
        <w:t>Дождев</w:t>
      </w:r>
      <w:proofErr w:type="spellEnd"/>
      <w:r w:rsidRPr="00382C2A">
        <w:rPr>
          <w:rFonts w:ascii="Times New Roman" w:hAnsi="Times New Roman" w:cs="Times New Roman"/>
          <w:sz w:val="28"/>
          <w:szCs w:val="28"/>
        </w:rPr>
        <w:t xml:space="preserve"> Д.В. Римское частное право: учебник для вузов. - М.: Норма, 2008. - 784 с</w:t>
      </w:r>
    </w:p>
    <w:sectPr w:rsidR="00382C2A" w:rsidRPr="0038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E92"/>
    <w:multiLevelType w:val="hybridMultilevel"/>
    <w:tmpl w:val="97B0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943"/>
    <w:multiLevelType w:val="hybridMultilevel"/>
    <w:tmpl w:val="7C68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0AA2"/>
    <w:multiLevelType w:val="hybridMultilevel"/>
    <w:tmpl w:val="1C60F358"/>
    <w:lvl w:ilvl="0" w:tplc="7DCC91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4107"/>
    <w:multiLevelType w:val="multilevel"/>
    <w:tmpl w:val="186A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hint="default"/>
        <w:color w:val="2E74B5" w:themeColor="accent1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  <w:color w:val="2E74B5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hint="default"/>
        <w:color w:val="2E74B5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ajorEastAsia" w:hint="default"/>
        <w:color w:val="2E74B5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hint="default"/>
        <w:color w:val="2E74B5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ajorEastAsia" w:hint="default"/>
        <w:color w:val="2E74B5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ajorEastAsia" w:hint="default"/>
        <w:color w:val="2E74B5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hint="default"/>
        <w:color w:val="2E74B5" w:themeColor="accent1" w:themeShade="BF"/>
        <w:sz w:val="28"/>
      </w:rPr>
    </w:lvl>
  </w:abstractNum>
  <w:abstractNum w:abstractNumId="4" w15:restartNumberingAfterBreak="0">
    <w:nsid w:val="359D1450"/>
    <w:multiLevelType w:val="hybridMultilevel"/>
    <w:tmpl w:val="6A024A2A"/>
    <w:lvl w:ilvl="0" w:tplc="7DCC91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C6CC1"/>
    <w:multiLevelType w:val="hybridMultilevel"/>
    <w:tmpl w:val="E252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3162B"/>
    <w:multiLevelType w:val="hybridMultilevel"/>
    <w:tmpl w:val="4850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29"/>
    <w:rsid w:val="000108C1"/>
    <w:rsid w:val="00203774"/>
    <w:rsid w:val="00382C2A"/>
    <w:rsid w:val="004F7A99"/>
    <w:rsid w:val="00542765"/>
    <w:rsid w:val="00553A72"/>
    <w:rsid w:val="00641319"/>
    <w:rsid w:val="00727429"/>
    <w:rsid w:val="00881A12"/>
    <w:rsid w:val="00A2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B7EB"/>
  <w15:chartTrackingRefBased/>
  <w15:docId w15:val="{3BFC9D6E-B2B4-41AB-8CAA-75D8D65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7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74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27429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20377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377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03774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203774"/>
    <w:rPr>
      <w:color w:val="0563C1" w:themeColor="hyperlink"/>
      <w:u w:val="single"/>
    </w:rPr>
  </w:style>
  <w:style w:type="paragraph" w:styleId="a6">
    <w:name w:val="No Spacing"/>
    <w:uiPriority w:val="1"/>
    <w:qFormat/>
    <w:rsid w:val="00203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275A-7574-4D13-B38E-8F6CB148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Aganin</dc:creator>
  <cp:keywords/>
  <dc:description/>
  <cp:lastModifiedBy>ivan Aganin</cp:lastModifiedBy>
  <cp:revision>3</cp:revision>
  <dcterms:created xsi:type="dcterms:W3CDTF">2021-12-09T22:23:00Z</dcterms:created>
  <dcterms:modified xsi:type="dcterms:W3CDTF">2021-12-09T22:50:00Z</dcterms:modified>
</cp:coreProperties>
</file>