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Национальные источники трудового права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Законы и подзаконные акты по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прежнему являются основными актами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создающими нормы трудового права на национальной уровне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нормы конституционного характера занимают достаточно важное место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которое не предусматривалось на момент принятия Конституции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1958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также судебная практика вносит значительный вклад в развитие трудового права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  <w:rtl w:val="0"/>
          <w:lang w:val="ru-RU"/>
        </w:rPr>
        <w:t>3).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Раздел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Конституционные основы трудового права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Конституционные акты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нормы представляют собой совокупность норм конституционного блока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Кроме текста Конституции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1958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него включены Декларация о правах человека и гражданина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1789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и преамбула Конституции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1946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которую ссылается преамбула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1958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«основополагающие принципы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признаваемые законами Республики»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закрепленные в преамбуле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1946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последней провозглашаются экономические и социальные права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 необходимые в наше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среди которых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право на труд </w:t>
      </w:r>
      <w:r>
        <w:rPr>
          <w:rFonts w:ascii="Times New Roman" w:hAnsi="Times New Roman"/>
          <w:sz w:val="28"/>
          <w:szCs w:val="28"/>
          <w:rtl w:val="0"/>
          <w:lang w:val="ru-RU"/>
        </w:rPr>
        <w:t>"(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обязанность работать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свобода ассоциаций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 на забастовку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Помимо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ней также говорится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никто не может быть ущемлен в своей работе или занятости по причине происхождения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взглядов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убеждений» и что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«закон гарантирует женщинам во всех областях равные с мужчинами права»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нормативные акты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изменяющие или отменяющие положения трудового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должны соответствовать нормам конституционного блока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Несоответствие какого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положения из данных актов любой из подобных норм влечет за собой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объявление о неконституционности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закона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или отмене в связи с незаконностью или объявлении о незаконности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указа или постановления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Контроль Конституционного совета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Решения Конституционного Совета «являются обязательными для государственных органов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всех административных и судебных органов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"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Статья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62,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также относится и к оговоркам в отношении толкования или имплементационных директив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Совет иногда объявляет неконституционными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соответствии с конституционным законом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и вступившим в силу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марта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Конституционным законом о труде придается приоритетное значение передаче конституционных полномочий конституционному совету сначала в целях контроля над законом до его принятия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затем в рамках приоритетных вопросов конституционности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Практика Конституционного совета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Конституционный Совет ссылается на нормы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вытекающие из Декларации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1789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свобода личности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равенство перед законом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на нормы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вытекающие из преамбулы Конституции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1946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Совет подтвердил позитивность и конституционную ценность социальных прав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регулярно применяются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свобода ассоциаций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в ее индивидуальном смысле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«каждый человек может защищать свои права и интересы через профсоюзную деятельность и принадлежать к профсоюзу по своему выбору»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 и в коллективном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«праве прафсоюзов»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 на забастовку и участие в ней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включает и право на ведение коллективных переговоров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охрана здоровья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материальное обеспечение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отдых и досуг и конечно право на труд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Изначально Совет осторожно походил к решению данных вопросов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большинство положений трудового законодательства считались соответствующими Конституции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 последнее время Совет в большей степени склонен признавать подобные правовые положение недействительными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взгляд на принцип равенства колеблется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взгляд удивительно нетребователен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из сферы действия рассматриваемого акта исключаются наиболее уязвимые категории работников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наоборот более требователен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неравенство ставит крупные компании в невыгодное положение по сравнению с малыми предприятиями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 тому 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последние годы Совет стремится к тому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права и свободы компаний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частности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право на собственность и свободу предпринимательской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систематически преобладали над социальными правами трудящихся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были признаны неконституционными во имя свободы предпринимательства и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права собственности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обязательства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возлагаемые на работодателя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закрывают предприятие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принимает серьезное предложение о поглощении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только для этого нет законных оснований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для начала социального диалога в рамках франшизы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независимо от права на труд в первом случае и право на участие во втором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конституционный контроль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правило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превращается в контроль за обоснованием защиты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предоставляемой работникам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всегда подозреваются в нарушении основных прав работодателей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Помимо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Конституция и Конституционный совет играют центральную роль в определении функции закона и его места в контексте заключения и коллективных договоров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этот вопрос рассматривается в следующем разделе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Роль обычных судов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Роль обычных судов при применении Конституции также является важной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Нередко кассационный суд прибегает к Конституции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конституционному праву на забастовку</w:t>
      </w:r>
      <w:r>
        <w:rPr>
          <w:rFonts w:ascii="Times New Roman" w:hAnsi="Times New Roman"/>
          <w:sz w:val="28"/>
          <w:szCs w:val="28"/>
          <w:rtl w:val="0"/>
          <w:lang w:val="ru-RU"/>
        </w:rPr>
        <w:t>", 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конституционному принципу свободы труда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или 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принципу равенства»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или даже выносит в соответствии с положениями преамбулы Конституции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1946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или статьям Конституции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1958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Несмотря на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роль Конституционного Совета возросла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Совет по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прежнему ограничен новыми вопросами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направленными на исключение законодательных положений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обычные суды сохраняют все свои функции по применению старых толкований Конституции и по применению конституционных норм в отсутствие коллизии с иным законодательным положением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Помимо этого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обычные суды сохраняют так называемый «условный» контроль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которого выражается в проверке соответствия внутреннего права международному и европейскому праву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не посягать на эту юрисдикцию обычных судов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вводящие в действие европейские директивы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подлежат лишь ограниченному контролю со стороны Конституционного совета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считает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«включение директивы сообщества во внутреннее законодательство является результатом конституционного требования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может быть нарушено только в силу прямо противоположного положения Конституции»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Здесь можно сделать вывод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«что в отсутствие такого положения контроль за соблюдением директивы как с штоки зрения компетенции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определенной в договорах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с точки зрения основных прав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гарантируемой 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Договора о Европейском союзе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должен осуществляться только судьей Союза»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тех пор Совет отказывается контролировать конституционность закона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ограничивается «получением необходимых последствий от безусловных и точных положений директивы»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применение данного положения ограничено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Совет иногда отказывается применять прецедентное право Европейского союза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толкуя подзаконные акты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Раздел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Законодательство и подзаконные акты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Роль и функции законов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 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.34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Конституции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1958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в законе определяются лишь «основные принципы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(...)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трудового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профсоюзного и социального права»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помимо этого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правительство должно «законодательно закрепить» их постановлениями Государственного Совета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Термин «основополагающие принципы» понимается двусмысленно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практике содержание 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34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толкуется широко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Законы могут иногда быть достаточно подробными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 положениях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они создают или изменяют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содержатся также и возможные исключения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полномочия законодателя представляются довольно широкими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34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Конституции не наделяет законодателя полномочиями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тому 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данное положение рассматривается как препятствие для принятия им самим решений по этому вопросу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закон не может просто отказаться от своих полномочий в интересах укрепления регулирующих полномочий или ведения коллективных переговоров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позитивное требование привело к тому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некоторые законодательные положения были признаны неконституционными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применение все еще носит ограниченный характер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Практика Конституционного Совета с этой точки зрения выглядит более либеральной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Сфера применения законодательной отсылки к коллективным переговорам или регулирующим полномочиям превышает простое применение правовых положений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это ни удивительно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даже рассмотрел возможность решения вопроса иерархии коллективных договоров посредством коллективных переговоров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Вопрос права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Согласно с прямым запросом толкования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января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было установлено обязательство обеспечивать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любому проекту реформы предшествовали предварительные консультации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частности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включают препровождение участникам обсуждения документа с изложением его целей и основных вариантов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получают возможность информировать о сроках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они хотят установить для обсуждений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Такая процедура кажется относительно гибкой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нет никаких указаний на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требование об отсрочке является обязательным для законодателя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ничто не указывает на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подобные обсуждения юридически связывают законодателя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может изменить достигнутое соглашение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Фактически принудить законодателя в любом случае означало бы внести поправку в Конституцию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Такая предварительная законодательная процедура рассматривается как принуждение законодателя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в любом случае потребует внесения изменений в Конституцию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наконец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новая предварительная законодательная процедура применима только в случае отсутствия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срочности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этой причине закон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января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имеет скорее исключительно символическое влияние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через некоторое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большинством голосов после президентских и парламентских выборов мая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практика принятия законов в условиях чрезвычайного положения без проведения консультаций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обсуждений возвратилась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Фактически большинство законодательных изменений имели место без предварительных консультаций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Однако закон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января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существенно укрепил предыдущую практику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практику заключения коллективных переговоров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она направлена на определение содержания будущих законов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вид обсуждений не является новым в трудовом праве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числу таких законов относятся закон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который включает Национальное Межпрофессиональное Соглашение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НМС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октября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основные законы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касающиеся профессиональной подготовки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которые в основном являются возобновлением соглашений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1971, 1991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или декрет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трав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  <w:rtl w:val="0"/>
          <w:lang w:val="en-US"/>
        </w:rPr>
        <w:t>D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1242-2),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котором вводится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старый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договор в соответствии с НМС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октября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 не менее закон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января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позволил расширить влияние участников коллективных обсуждений и на парламентские процедуры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принятия этого закона сроки и масштаб коллективных обсуждений по законодательным вопросам были изменены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НМС 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января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о модернизации трудового законодательства предшествовало закону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общая позиция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о представительности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развитии социального диалога и финансировании профсоюзов предшествовала закону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НМС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января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предшествовало закону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 последнее время реформы утратили свою динамику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Провал коллективных обсуждений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предшествовавших закону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Rebsamen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и отсутствие каких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предварительных обсуждений до принятия закона Эль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Хомри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или до указов Макрона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свидетельствуют либо о потере влияния данного института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о растущей неспособности социальных партнеров достичь соглашений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Ясность и понятность закона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Законодатель должен придерживаться «принципа ясности закона»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и 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конституционной цели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заключающейся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закон был понятным»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требует от него «принимать достаточно четкие положения и недвусмысленные формулировки»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практике это не всегда достижимо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оценить уровень ясности и понятности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достаточно посмотреть Трудовой кодекс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некоторым вопросам трудовое законодательство достигает такого уровня сложности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противоречивости и размытости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возможности истца узнать свои права и обязанности в некоторых областях сходят на 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Подзаконные акты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Исполнительная власть осуществляет свои традиционные регулирующие полномочия в отношении правоприменения путем принятия простых указов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которые иногда прямо ссылается законодательный текст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другие органы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министров до мэров и префектов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имеют также право издавать на основе постановлений правила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подчиненные по схеме административной иерархии или на основании специальных законодательных положений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Эта власть находится под контролем Государственного совета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только в исключительных случаях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акт может быть аннулирован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Организация советов по трудовым вопросам и соответствующие процедуры в основном регулируются законодательными актами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созданными и измененными декретом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гигиена и безопасность труда являются предметом регулирования множества подзаконных актов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Закон ссылается на постановление Совета министров и межведомственные постановления о периодическом пересмотре установленной законом минимальной ставки заработной платы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МРОТ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Постановления министерства продлевают действие коллективных договоров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префектурные постановления в основном касаются еженедельного закрытия предприятий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обеспечения еженедельного отдыха работников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После вступления в силу новых законов или при других обстоятельствах должностным лицам Администрации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частности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Трудовой инспекции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направляются министерских циркуляры или инструкции с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информировать или направлять их действия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акты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даже не лишенные нормативного характера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имеют реальное практическое значение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они применяются только к должностным лицам администрации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 к судам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они обычно используются в правовых или судебных прениях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той мере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какой они выражают авторитетное мнение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часто мнение составителей комментируемого текста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Кодификация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Кодификация и внесение изменений в текст кодекса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начале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 подготовка Трудового кодекса стала первым подобным опытом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этого собрания «трудовых законов» в четырех книгах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изданных в период 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была практической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облегчением доступа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трудящихся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законам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символической одновременно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она имела целью утвердить и укрепить место закона в трудовых отношениях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Эта «компиляция» оставалась на низком техническом уровне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никогда не убеждала юристов и не могла вместить в себя некоторые важные тексты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Первое изменение кодекса произошло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1973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Была принято современная форма нумерации по частям и делением в источникам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/>
          <w:sz w:val="28"/>
          <w:szCs w:val="28"/>
          <w:rtl w:val="0"/>
          <w:lang w:val="en-US"/>
        </w:rPr>
        <w:t>L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закона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en-US"/>
        </w:rPr>
        <w:t>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декретов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принятых в Государственном совете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rtl w:val="0"/>
          <w:lang w:val="en-US"/>
        </w:rPr>
        <w:t>D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простые указы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этого документа состояла в обеспечении полноты и адаптируемости документа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предусматривая ежегодное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декретное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включение в него положений трудового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Кодекс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1973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был плохо продуман и сильно устарел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нем было много неясных отсылок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чрезмерно удлиненных статей или чрезмерного усложнения нумераций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Второе изменение кодекс было направлено на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привести в порядок этот текст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ставший густым и запутанным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Это привело к принятию постановления 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марта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ратифицированный законом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января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и дополненный указом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марта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Разработанный в результате этого кодекс вступил в силу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изменения могли бы иметь место с целью уточнения и упрощения трудового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это было сделано с уголовным законодательством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1994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в случае с новым ГПК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этого сделано не было и кодификация не была упрощена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Новый Кодекс не оказал существенного влияния на существо применимого права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соответствии с заявленным намерением законодателя сохранить прежнее право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кассационный суд интерпретирует новые положения Кодекса в соответствии с положениями старого кодекса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Была изменена структура кодекса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нумерация статей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Последние остаются идентифицированными с другой буквой В зависимости от их источника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/>
          <w:sz w:val="28"/>
          <w:szCs w:val="28"/>
          <w:rtl w:val="0"/>
          <w:lang w:val="en-US"/>
        </w:rPr>
        <w:t>L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en-US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или </w:t>
      </w:r>
      <w:r>
        <w:rPr>
          <w:rFonts w:ascii="Times New Roman" w:hAnsi="Times New Roman"/>
          <w:sz w:val="28"/>
          <w:szCs w:val="28"/>
          <w:rtl w:val="0"/>
          <w:lang w:val="en-US"/>
        </w:rPr>
        <w:t>d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1891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статьи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сгруппированных в девять книг прежнего варианта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были заменены на восемь частей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которых насчитывается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3 652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статьи с нумерацией до восьми цифр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 семи как ранее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новый кодекс был включен ряд ранее некодифицированных текстов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Законодатель в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подтвердил намерение продолжить реформирование кодекса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Примером может служить пересмотр этим законом книги Трудового кодекса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касающейся рабочего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Данное изменение только усложнило и увеличило кодекс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пересмотр трудового законодательства был приостановлен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Группой экспертов был подготовлен проект пересмотра части Трудового кодекса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Исследовательская группа по трудовому кодексу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/>
          <w:sz w:val="28"/>
          <w:szCs w:val="28"/>
          <w:rtl w:val="0"/>
          <w:lang w:val="pt-PT"/>
        </w:rPr>
        <w:t>GR-PACT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соответствии с этим предложением ТК делится на четыре части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это предложение является первым предложениям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направленным на полную переработку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предыдущие изменения представляли собой лишь последовательные сокращения и добавления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текст свидетельствует о возможности действительной переработки кодекса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до сих пор данное предложение не было воспринято правительством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часто двигается в совершенно противоположном направлении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Иные нормативно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правовые акты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Регулирование трудовых отношений не ограничивается Трудовым кодексом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Общие нормы Гражданского кодекса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регулирующие обязательственное право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применяются в первую очередь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не закреплено обратное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Другие положения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применимые к трудовому законодательству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вытекают из кодексов и законов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имеют сферу применения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отличную от Трудового кодекса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касается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закона «об информатике и свободах»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1978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должен соблюдаться на предприятиях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также некоторых положений Кодекса интеллектуальной собственности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касающихся изобретений или создания программного обеспечения работниками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Торгового Кодекса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Кодекса здравоохранения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регулирующий занятость работников частного больничного сектора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кодексом въезда и пребывания иностранцев и права на убежище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Структура трудового кодекса не предусматривает возможности включать в него акты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располагающиеся в иерархии ниже указа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Невключение акта в кодекс также может быть связано с коротким сроком его действия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указы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устанавливающие ставку МРОТ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или конъюнктурным характером текста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>, 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политики в области занятости или точнее меры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принимаемые для сокращения рабочего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другой стороны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исключение некоторых положений из кодекса лишено каких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оснований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некоторые важные акты трудового права могут оказаться вне трудового кодекса по простой небрежности законодателя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Body Text"/>
        <w:spacing w:line="360" w:lineRule="auto"/>
        <w:ind w:firstLine="567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седьмой части Трудового кодекса содержатся положения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определяющие конкретные виды профессий и деятельности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журналисты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модели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исполнители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уборщики и смотрители зданий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продавцы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управляющие филиалами и домашние работники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другие профессиональные секторы подпадают под действие положений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сгруппированных в других кодексах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таких как сельский кодекс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книга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морской кодекс или кодекс морского труда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созданный на основании закона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1926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и регулирующий договор о морских контрактах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Данные положения не носят исключительный характер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Вопросы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урегулированные положениями  трудового кодекса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регулируются нормами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закрепляющие работу по найму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