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Винодельные страны отличаются своим ландшафтом, палящим солнечным воздухом, добрыми людьми и высококлассными винами.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Вино красное «Алазанская долина» выжато из виноградного сорта Саперави. Грузинское вино имеет цвет насыщенного рубина с фруктовым вкусом, с пряностями и без кислинки. Вино столовое, подавать рекомендуется под мясные деликатесы и использовать для изготовления горячих напитков.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Красное полусладкое можно недорого купить в интернет-магазине, в диапазоне от 400 до 700 рублей. Простой интерфейс позволит быстро забронировать заказ.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